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9185" w:type="dxa"/>
        <w:tblBorders>
          <w:top w:val="none" w:sz="0" w:space="0" w:color="auto"/>
          <w:left w:val="none" w:sz="0" w:space="0" w:color="auto"/>
          <w:bottom w:val="none" w:sz="0" w:space="0" w:color="auto"/>
          <w:right w:val="none" w:sz="0" w:space="0" w:color="auto"/>
        </w:tblBorders>
        <w:tblCellMar>
          <w:top w:w="0" w:type="dxa"/>
          <w:bottom w:w="0" w:type="dxa"/>
        </w:tblCellMar>
        <w:tblLook w:val="00A0" w:firstRow="1" w:lastRow="0" w:firstColumn="1" w:lastColumn="0" w:noHBand="0" w:noVBand="0"/>
      </w:tblPr>
      <w:tblGrid>
        <w:gridCol w:w="20"/>
        <w:gridCol w:w="9165"/>
      </w:tblGrid>
      <w:tr w:rsidR="00D15354" w:rsidRPr="00D5330C" w:rsidTr="00D01077">
        <w:trPr>
          <w:cantSplit/>
          <w:trHeight w:hRule="exact" w:val="2835"/>
        </w:trPr>
        <w:tc>
          <w:tcPr>
            <w:tcW w:w="20" w:type="dxa"/>
          </w:tcPr>
          <w:p w:rsidR="00D15354" w:rsidRPr="00F50F86" w:rsidRDefault="00D15354" w:rsidP="001254C3">
            <w:pPr>
              <w:pStyle w:val="11RapportTitel"/>
              <w:rPr>
                <w:highlight w:val="lightGray"/>
              </w:rPr>
            </w:pPr>
          </w:p>
        </w:tc>
        <w:tc>
          <w:tcPr>
            <w:tcW w:w="9165" w:type="dxa"/>
          </w:tcPr>
          <w:p w:rsidR="00D15354" w:rsidRPr="00F50F86" w:rsidRDefault="00D15354" w:rsidP="001254C3">
            <w:pPr>
              <w:pStyle w:val="11RapportTitel"/>
              <w:rPr>
                <w:highlight w:val="lightGray"/>
              </w:rPr>
            </w:pPr>
          </w:p>
        </w:tc>
      </w:tr>
      <w:tr w:rsidR="00D15354" w:rsidRPr="00D01077" w:rsidTr="00D01077">
        <w:trPr>
          <w:cantSplit/>
          <w:trHeight w:hRule="exact" w:val="5455"/>
        </w:trPr>
        <w:tc>
          <w:tcPr>
            <w:tcW w:w="20" w:type="dxa"/>
          </w:tcPr>
          <w:p w:rsidR="00D15354" w:rsidRPr="00F50F86" w:rsidRDefault="00D15354" w:rsidP="001254C3">
            <w:pPr>
              <w:pStyle w:val="11RapportTitel"/>
              <w:rPr>
                <w:highlight w:val="lightGray"/>
              </w:rPr>
            </w:pPr>
          </w:p>
        </w:tc>
        <w:tc>
          <w:tcPr>
            <w:tcW w:w="9165" w:type="dxa"/>
          </w:tcPr>
          <w:p w:rsidR="001254C3" w:rsidRDefault="001747BC" w:rsidP="001254C3">
            <w:pPr>
              <w:pStyle w:val="11RapportTitel"/>
              <w:rPr>
                <w:lang w:val="en-US"/>
              </w:rPr>
            </w:pPr>
            <w:r w:rsidRPr="00D5330C">
              <w:tab/>
            </w:r>
            <w:r w:rsidRPr="00D5330C">
              <w:tab/>
            </w:r>
            <w:r w:rsidR="001254C3" w:rsidRPr="001254C3">
              <w:rPr>
                <w:lang w:val="en-US"/>
              </w:rPr>
              <w:t xml:space="preserve">ISPT Project Public Report </w:t>
            </w:r>
          </w:p>
          <w:p w:rsidR="00D15354" w:rsidRPr="00D01077" w:rsidRDefault="00D01077" w:rsidP="001254C3">
            <w:pPr>
              <w:pStyle w:val="11RapportTitel"/>
              <w:rPr>
                <w:b w:val="0"/>
                <w:lang w:val="en-US"/>
              </w:rPr>
            </w:pPr>
            <w:r>
              <w:rPr>
                <w:b w:val="0"/>
                <w:lang w:val="en-US"/>
              </w:rPr>
              <w:t>The m</w:t>
            </w:r>
            <w:r w:rsidR="001254C3" w:rsidRPr="00D01077">
              <w:rPr>
                <w:b w:val="0"/>
                <w:lang w:val="en-US"/>
              </w:rPr>
              <w:t>ulti-bed Flexi-Plant Pilot (HetD) Installation</w:t>
            </w:r>
          </w:p>
          <w:p w:rsidR="001254C3" w:rsidRPr="00D01077" w:rsidRDefault="001747BC" w:rsidP="00D15354">
            <w:pPr>
              <w:pStyle w:val="11RapportTitel"/>
              <w:spacing w:after="0"/>
              <w:rPr>
                <w:b w:val="0"/>
                <w:sz w:val="36"/>
                <w:lang w:val="en-US"/>
              </w:rPr>
            </w:pPr>
            <w:r w:rsidRPr="001254C3">
              <w:rPr>
                <w:lang w:val="en-US"/>
              </w:rPr>
              <w:t xml:space="preserve"> </w:t>
            </w:r>
            <w:r w:rsidR="001254C3" w:rsidRPr="00D01077">
              <w:rPr>
                <w:b w:val="0"/>
                <w:sz w:val="36"/>
                <w:lang w:val="en-US"/>
              </w:rPr>
              <w:t>Sponsored by:</w:t>
            </w:r>
          </w:p>
          <w:p w:rsidR="00D01077" w:rsidRPr="00D01077" w:rsidRDefault="001254C3" w:rsidP="00D01077">
            <w:pPr>
              <w:pStyle w:val="11RapportTitel"/>
              <w:spacing w:after="0"/>
              <w:rPr>
                <w:b w:val="0"/>
                <w:sz w:val="36"/>
                <w:lang w:val="en-US"/>
              </w:rPr>
            </w:pPr>
            <w:r w:rsidRPr="00D01077">
              <w:rPr>
                <w:b w:val="0"/>
                <w:sz w:val="36"/>
                <w:lang w:val="en-US"/>
              </w:rPr>
              <w:t xml:space="preserve"> </w:t>
            </w:r>
            <w:r w:rsidR="00D01077" w:rsidRPr="00D01077">
              <w:rPr>
                <w:b w:val="0"/>
                <w:sz w:val="36"/>
                <w:lang w:val="en-US"/>
              </w:rPr>
              <w:t xml:space="preserve">TNO, </w:t>
            </w:r>
            <w:r w:rsidRPr="00D01077">
              <w:rPr>
                <w:b w:val="0"/>
                <w:sz w:val="36"/>
                <w:lang w:val="en-US"/>
              </w:rPr>
              <w:t xml:space="preserve">Huntsman, Plant One, </w:t>
            </w:r>
          </w:p>
          <w:p w:rsidR="00D15354" w:rsidRPr="00D01077" w:rsidRDefault="001254C3" w:rsidP="001254C3">
            <w:pPr>
              <w:pStyle w:val="11RapportTitel"/>
              <w:rPr>
                <w:sz w:val="36"/>
                <w:lang w:val="en-US"/>
              </w:rPr>
            </w:pPr>
            <w:r w:rsidRPr="00D01077">
              <w:rPr>
                <w:b w:val="0"/>
                <w:sz w:val="36"/>
                <w:lang w:val="en-US"/>
              </w:rPr>
              <w:t>Port of Rotterdam,</w:t>
            </w:r>
            <w:r w:rsidRPr="00D01077">
              <w:rPr>
                <w:sz w:val="36"/>
                <w:lang w:val="en-US"/>
              </w:rPr>
              <w:t xml:space="preserve"> </w:t>
            </w:r>
            <w:r w:rsidRPr="00D01077">
              <w:rPr>
                <w:b w:val="0"/>
                <w:sz w:val="36"/>
                <w:lang w:val="en-US"/>
              </w:rPr>
              <w:t>and ISPT</w:t>
            </w:r>
          </w:p>
          <w:p w:rsidR="001254C3" w:rsidRPr="001254C3" w:rsidRDefault="001254C3" w:rsidP="001254C3">
            <w:pPr>
              <w:pStyle w:val="12RapportSubtitel"/>
              <w:rPr>
                <w:lang w:val="en-US"/>
              </w:rPr>
            </w:pPr>
            <w:r w:rsidRPr="00D01077">
              <w:rPr>
                <w:sz w:val="36"/>
                <w:lang w:val="en-US"/>
              </w:rPr>
              <w:t>Project number DV-20-01</w:t>
            </w:r>
          </w:p>
        </w:tc>
      </w:tr>
    </w:tbl>
    <w:p w:rsidR="00D15354" w:rsidRPr="001254C3" w:rsidRDefault="00D15354" w:rsidP="001254C3">
      <w:pPr>
        <w:pStyle w:val="01Rapporttekst"/>
        <w:rPr>
          <w:highlight w:val="lightGray"/>
          <w:lang w:val="en-US"/>
        </w:rPr>
      </w:pPr>
    </w:p>
    <w:p w:rsidR="00D15354" w:rsidRPr="001254C3" w:rsidRDefault="00D15354" w:rsidP="001254C3">
      <w:pPr>
        <w:pStyle w:val="01Rapporttekst"/>
        <w:rPr>
          <w:highlight w:val="lightGray"/>
          <w:lang w:val="en-US"/>
        </w:rPr>
      </w:pPr>
    </w:p>
    <w:p w:rsidR="00D15354" w:rsidRPr="001254C3" w:rsidRDefault="00D15354" w:rsidP="001254C3">
      <w:pPr>
        <w:pStyle w:val="01Rapporttekst"/>
        <w:rPr>
          <w:highlight w:val="lightGray"/>
          <w:lang w:val="en-US"/>
        </w:rPr>
      </w:pPr>
    </w:p>
    <w:p w:rsidR="001254C3" w:rsidRDefault="001747BC" w:rsidP="001254C3">
      <w:pPr>
        <w:pStyle w:val="11RapportTitel"/>
        <w:rPr>
          <w:lang w:val="en-US"/>
        </w:rPr>
      </w:pPr>
      <w:r w:rsidRPr="001254C3">
        <w:rPr>
          <w:highlight w:val="lightGray"/>
          <w:lang w:val="en-US"/>
        </w:rPr>
        <w:br w:type="page"/>
      </w:r>
    </w:p>
    <w:p w:rsidR="001254C3" w:rsidRPr="00004D1D" w:rsidRDefault="001254C3" w:rsidP="003E4252">
      <w:pPr>
        <w:pStyle w:val="04Titel"/>
        <w:numPr>
          <w:ilvl w:val="0"/>
          <w:numId w:val="0"/>
        </w:numPr>
        <w:ind w:left="680" w:hanging="680"/>
      </w:pPr>
      <w:bookmarkStart w:id="0" w:name="_Toc429389865"/>
      <w:bookmarkStart w:id="1" w:name="_Toc434328936"/>
      <w:bookmarkStart w:id="2" w:name="_Toc447108884"/>
      <w:r w:rsidRPr="00004D1D">
        <w:lastRenderedPageBreak/>
        <w:t>Executive Summary</w:t>
      </w:r>
      <w:bookmarkEnd w:id="0"/>
      <w:bookmarkEnd w:id="1"/>
      <w:bookmarkEnd w:id="2"/>
    </w:p>
    <w:p w:rsidR="001254C3" w:rsidRPr="00D01077" w:rsidRDefault="001254C3" w:rsidP="001254C3">
      <w:pPr>
        <w:jc w:val="both"/>
        <w:rPr>
          <w:lang w:val="en-US"/>
        </w:rPr>
      </w:pPr>
      <w:r w:rsidRPr="00D01077">
        <w:rPr>
          <w:lang w:val="en-US"/>
        </w:rPr>
        <w:t>The second phase of the HetD project, in which the potential for further use of the pilot installation was assessed, was led by TNO and completed in June 2015. Possible uses of the installation were identified through brainstorming with TNO experts and interviewing contacts from the Dutch catalysis community. Several companies who could possibly be interested in using the installation for testing of their own processes were also interviewed. The feedback was mixed with the general conclusion that there may be specific cases where the installation is useful, but these will not be extensive. Using the installation for equipment testing or training purposes are unique cases that could also be interesting to pursue further.</w:t>
      </w:r>
    </w:p>
    <w:p w:rsidR="001254C3" w:rsidRPr="00D01077" w:rsidRDefault="001254C3" w:rsidP="001254C3">
      <w:pPr>
        <w:jc w:val="both"/>
        <w:rPr>
          <w:lang w:val="en-US"/>
        </w:rPr>
      </w:pPr>
    </w:p>
    <w:p w:rsidR="001254C3" w:rsidRPr="00D01077" w:rsidRDefault="001254C3" w:rsidP="001254C3">
      <w:pPr>
        <w:jc w:val="both"/>
        <w:rPr>
          <w:lang w:val="en-US"/>
        </w:rPr>
      </w:pPr>
      <w:r w:rsidRPr="00D01077">
        <w:rPr>
          <w:lang w:val="en-US"/>
        </w:rPr>
        <w:t>The scenarios where it was felt that the installation could be advantageous were for:</w:t>
      </w:r>
    </w:p>
    <w:p w:rsidR="001254C3" w:rsidRPr="00D01077" w:rsidRDefault="001254C3" w:rsidP="001254C3">
      <w:pPr>
        <w:pStyle w:val="Lijstalinea"/>
        <w:numPr>
          <w:ilvl w:val="0"/>
          <w:numId w:val="35"/>
        </w:numPr>
        <w:jc w:val="both"/>
        <w:rPr>
          <w:lang w:val="en-US"/>
        </w:rPr>
      </w:pPr>
      <w:r w:rsidRPr="00D01077">
        <w:rPr>
          <w:lang w:val="en-US"/>
        </w:rPr>
        <w:t xml:space="preserve">Smaller companies who do not have a large pilot plant themselves. They could make use of the HetD installation for process development or production scale-up at lower costs that those of building a new dedicated pilot. </w:t>
      </w:r>
    </w:p>
    <w:p w:rsidR="001254C3" w:rsidRPr="00D01077" w:rsidRDefault="001254C3" w:rsidP="001254C3">
      <w:pPr>
        <w:pStyle w:val="Lijstalinea"/>
        <w:numPr>
          <w:ilvl w:val="0"/>
          <w:numId w:val="35"/>
        </w:numPr>
        <w:jc w:val="both"/>
        <w:rPr>
          <w:lang w:val="en-US"/>
        </w:rPr>
      </w:pPr>
      <w:r w:rsidRPr="00D01077">
        <w:rPr>
          <w:lang w:val="en-US"/>
        </w:rPr>
        <w:t>The production of new products for market introduction, on the order of 100 L of product.</w:t>
      </w:r>
    </w:p>
    <w:p w:rsidR="001254C3" w:rsidRPr="00D01077" w:rsidRDefault="001254C3" w:rsidP="001254C3">
      <w:pPr>
        <w:pStyle w:val="Lijstalinea"/>
        <w:numPr>
          <w:ilvl w:val="0"/>
          <w:numId w:val="35"/>
        </w:numPr>
        <w:jc w:val="both"/>
        <w:rPr>
          <w:lang w:val="en-US"/>
        </w:rPr>
      </w:pPr>
      <w:r w:rsidRPr="00D01077">
        <w:rPr>
          <w:lang w:val="en-US"/>
        </w:rPr>
        <w:t>The development of hydrogenation or other “green” chemistry or bio-based processes, where facilities at the same scale of the HetD installation are lacking.</w:t>
      </w:r>
    </w:p>
    <w:p w:rsidR="001254C3" w:rsidRPr="00D01077" w:rsidRDefault="001254C3" w:rsidP="001254C3">
      <w:pPr>
        <w:pStyle w:val="Lijstalinea"/>
        <w:numPr>
          <w:ilvl w:val="0"/>
          <w:numId w:val="35"/>
        </w:numPr>
        <w:jc w:val="both"/>
        <w:rPr>
          <w:lang w:val="en-US"/>
        </w:rPr>
      </w:pPr>
      <w:r w:rsidRPr="00D01077">
        <w:rPr>
          <w:lang w:val="en-US"/>
        </w:rPr>
        <w:t>The regeneration of expensive catalysts.</w:t>
      </w:r>
    </w:p>
    <w:p w:rsidR="001254C3" w:rsidRPr="00D01077" w:rsidRDefault="001254C3" w:rsidP="001254C3">
      <w:pPr>
        <w:pStyle w:val="Lijstalinea"/>
        <w:numPr>
          <w:ilvl w:val="0"/>
          <w:numId w:val="35"/>
        </w:numPr>
        <w:jc w:val="both"/>
        <w:rPr>
          <w:lang w:val="en-US"/>
        </w:rPr>
      </w:pPr>
      <w:r w:rsidRPr="00D01077">
        <w:rPr>
          <w:lang w:val="en-US"/>
        </w:rPr>
        <w:t>Process equipment and automation testing.</w:t>
      </w:r>
    </w:p>
    <w:p w:rsidR="001254C3" w:rsidRPr="00D01077" w:rsidRDefault="001254C3" w:rsidP="001254C3">
      <w:pPr>
        <w:pStyle w:val="Lijstalinea"/>
        <w:numPr>
          <w:ilvl w:val="0"/>
          <w:numId w:val="35"/>
        </w:numPr>
        <w:jc w:val="both"/>
        <w:rPr>
          <w:lang w:val="en-US"/>
        </w:rPr>
      </w:pPr>
      <w:r w:rsidRPr="00D01077">
        <w:rPr>
          <w:lang w:val="en-US"/>
        </w:rPr>
        <w:t>Training of students or employees in plant construction, operation, automation, and decommissioning.</w:t>
      </w:r>
    </w:p>
    <w:p w:rsidR="001254C3" w:rsidRPr="00D01077" w:rsidRDefault="001254C3" w:rsidP="001254C3">
      <w:pPr>
        <w:jc w:val="both"/>
        <w:rPr>
          <w:lang w:val="en-US"/>
        </w:rPr>
      </w:pPr>
    </w:p>
    <w:p w:rsidR="001254C3" w:rsidRPr="00004D1D" w:rsidRDefault="001254C3" w:rsidP="001254C3">
      <w:pPr>
        <w:jc w:val="both"/>
      </w:pPr>
      <w:r w:rsidRPr="00004D1D">
        <w:t>Specific negative points were:</w:t>
      </w:r>
    </w:p>
    <w:p w:rsidR="001254C3" w:rsidRPr="00D01077" w:rsidRDefault="001254C3" w:rsidP="001254C3">
      <w:pPr>
        <w:pStyle w:val="Lijstalinea"/>
        <w:numPr>
          <w:ilvl w:val="0"/>
          <w:numId w:val="36"/>
        </w:numPr>
        <w:jc w:val="both"/>
        <w:rPr>
          <w:lang w:val="en-US"/>
        </w:rPr>
      </w:pPr>
      <w:r w:rsidRPr="00D01077">
        <w:rPr>
          <w:lang w:val="en-US"/>
        </w:rPr>
        <w:t xml:space="preserve">It is not to be expected that large chemicals companies, during the development and implementation trajectory of their processes, will make use of an existing setup dedicated for another process. </w:t>
      </w:r>
    </w:p>
    <w:p w:rsidR="001254C3" w:rsidRPr="00D01077" w:rsidRDefault="001254C3" w:rsidP="001254C3">
      <w:pPr>
        <w:pStyle w:val="Lijstalinea"/>
        <w:numPr>
          <w:ilvl w:val="0"/>
          <w:numId w:val="36"/>
        </w:numPr>
        <w:jc w:val="both"/>
        <w:rPr>
          <w:lang w:val="en-US"/>
        </w:rPr>
      </w:pPr>
      <w:r w:rsidRPr="00D01077">
        <w:rPr>
          <w:lang w:val="en-US"/>
        </w:rPr>
        <w:t xml:space="preserve">The majority of industrial chemical processes (maybe up to 80%) are acid-based, for which the HetD installation may not be suitable. </w:t>
      </w:r>
    </w:p>
    <w:p w:rsidR="001254C3" w:rsidRPr="00D01077" w:rsidRDefault="001254C3" w:rsidP="001254C3">
      <w:pPr>
        <w:pStyle w:val="Lijstalinea"/>
        <w:numPr>
          <w:ilvl w:val="0"/>
          <w:numId w:val="36"/>
        </w:numPr>
        <w:jc w:val="both"/>
        <w:rPr>
          <w:lang w:val="en-US"/>
        </w:rPr>
      </w:pPr>
      <w:r w:rsidRPr="00D01077">
        <w:rPr>
          <w:lang w:val="en-US"/>
        </w:rPr>
        <w:t xml:space="preserve">The 2 litre CSTR, used in the installation for pre-mixing, is much too small for the processes currently being developed in the chemicals industry. </w:t>
      </w:r>
    </w:p>
    <w:p w:rsidR="001254C3" w:rsidRPr="00D01077" w:rsidRDefault="001254C3" w:rsidP="001254C3">
      <w:pPr>
        <w:pStyle w:val="Lijstalinea"/>
        <w:numPr>
          <w:ilvl w:val="0"/>
          <w:numId w:val="36"/>
        </w:numPr>
        <w:spacing w:after="240"/>
        <w:jc w:val="both"/>
        <w:rPr>
          <w:lang w:val="en-US"/>
        </w:rPr>
      </w:pPr>
      <w:r w:rsidRPr="00D01077">
        <w:rPr>
          <w:lang w:val="en-US"/>
        </w:rPr>
        <w:t xml:space="preserve">The step between laboratory scale and full commercial scale may not be required in many cases where scale-up is straightforward. </w:t>
      </w:r>
    </w:p>
    <w:p w:rsidR="001254C3" w:rsidRPr="00D01077" w:rsidRDefault="001254C3" w:rsidP="001254C3">
      <w:pPr>
        <w:jc w:val="both"/>
        <w:rPr>
          <w:lang w:val="en-US"/>
        </w:rPr>
      </w:pPr>
      <w:r w:rsidRPr="00D01077">
        <w:rPr>
          <w:lang w:val="en-US"/>
        </w:rPr>
        <w:t>The recommendations to increase the business potential of the HetD system are to:</w:t>
      </w:r>
    </w:p>
    <w:p w:rsidR="001254C3" w:rsidRPr="00D01077" w:rsidRDefault="001254C3" w:rsidP="001254C3">
      <w:pPr>
        <w:pStyle w:val="Lijstalinea"/>
        <w:numPr>
          <w:ilvl w:val="0"/>
          <w:numId w:val="36"/>
        </w:numPr>
        <w:jc w:val="both"/>
        <w:rPr>
          <w:lang w:val="en-US"/>
        </w:rPr>
      </w:pPr>
      <w:r w:rsidRPr="00D01077">
        <w:rPr>
          <w:lang w:val="en-US"/>
        </w:rPr>
        <w:t>Assess overlap and benefits with respect to other pilot plants being setup in joint research centres and pursue joint opportunities.</w:t>
      </w:r>
    </w:p>
    <w:p w:rsidR="001254C3" w:rsidRPr="00D01077" w:rsidRDefault="001254C3" w:rsidP="001254C3">
      <w:pPr>
        <w:pStyle w:val="Lijstalinea"/>
        <w:numPr>
          <w:ilvl w:val="0"/>
          <w:numId w:val="36"/>
        </w:numPr>
        <w:jc w:val="both"/>
        <w:rPr>
          <w:lang w:val="en-US"/>
        </w:rPr>
      </w:pPr>
      <w:r w:rsidRPr="00D01077">
        <w:rPr>
          <w:lang w:val="en-US"/>
        </w:rPr>
        <w:t>Increase the flexibility and applicability of the installation following a cost-benefit analysis and give priority to projects which will help in achieving this.</w:t>
      </w:r>
    </w:p>
    <w:p w:rsidR="001254C3" w:rsidRPr="00D01077" w:rsidRDefault="001254C3" w:rsidP="001254C3">
      <w:pPr>
        <w:pStyle w:val="Lijstalinea"/>
        <w:numPr>
          <w:ilvl w:val="0"/>
          <w:numId w:val="36"/>
        </w:numPr>
        <w:rPr>
          <w:lang w:val="en-US"/>
        </w:rPr>
      </w:pPr>
      <w:r w:rsidRPr="00D01077">
        <w:rPr>
          <w:lang w:val="en-US"/>
        </w:rPr>
        <w:t>Pursue longer term projects of about a year or more.</w:t>
      </w:r>
    </w:p>
    <w:p w:rsidR="001254C3" w:rsidRPr="001254C3" w:rsidRDefault="001254C3" w:rsidP="001254C3">
      <w:pPr>
        <w:rPr>
          <w:lang w:val="en-GB"/>
        </w:rPr>
      </w:pPr>
    </w:p>
    <w:p w:rsidR="001254C3" w:rsidRPr="00D01077" w:rsidRDefault="001254C3" w:rsidP="001254C3">
      <w:pPr>
        <w:pStyle w:val="11RapportTitel"/>
        <w:rPr>
          <w:lang w:val="en-US"/>
        </w:rPr>
      </w:pPr>
    </w:p>
    <w:p w:rsidR="006C18BA" w:rsidRDefault="00D01077" w:rsidP="001254C3">
      <w:pPr>
        <w:pStyle w:val="11RapportTitel"/>
        <w:jc w:val="left"/>
        <w:rPr>
          <w:noProof/>
        </w:rPr>
      </w:pPr>
      <w:r>
        <w:rPr>
          <w:lang w:val="en-US"/>
        </w:rPr>
        <w:lastRenderedPageBreak/>
        <w:t>Contents</w:t>
      </w:r>
      <w:r w:rsidR="001747BC" w:rsidRPr="00F50F86">
        <w:rPr>
          <w:highlight w:val="lightGray"/>
        </w:rPr>
        <w:fldChar w:fldCharType="begin"/>
      </w:r>
      <w:r w:rsidR="001747BC" w:rsidRPr="00D01077">
        <w:rPr>
          <w:highlight w:val="lightGray"/>
          <w:lang w:val="en-US"/>
        </w:rPr>
        <w:instrText xml:space="preserve"> TOC \o \t "05_Subtitel;2;04_Titel;1;06_Subkop;3" </w:instrText>
      </w:r>
      <w:r w:rsidR="001747BC" w:rsidRPr="00F50F86">
        <w:rPr>
          <w:highlight w:val="lightGray"/>
        </w:rPr>
        <w:fldChar w:fldCharType="separate"/>
      </w:r>
    </w:p>
    <w:p w:rsidR="006C18BA" w:rsidRDefault="006C18BA">
      <w:pPr>
        <w:pStyle w:val="Inhopg1"/>
        <w:rPr>
          <w:rFonts w:asciiTheme="minorHAnsi" w:eastAsiaTheme="minorEastAsia" w:hAnsiTheme="minorHAnsi" w:cstheme="minorBidi"/>
          <w:b w:val="0"/>
          <w:noProof/>
          <w:sz w:val="22"/>
          <w:szCs w:val="22"/>
          <w:lang w:val="nl-NL" w:eastAsia="nl-NL"/>
        </w:rPr>
      </w:pPr>
      <w:bookmarkStart w:id="3" w:name="_GoBack"/>
      <w:bookmarkEnd w:id="3"/>
      <w:r>
        <w:rPr>
          <w:noProof/>
        </w:rPr>
        <w:t>Executive Summary</w:t>
      </w:r>
      <w:r>
        <w:rPr>
          <w:noProof/>
        </w:rPr>
        <w:tab/>
      </w:r>
      <w:r>
        <w:rPr>
          <w:noProof/>
        </w:rPr>
        <w:fldChar w:fldCharType="begin"/>
      </w:r>
      <w:r>
        <w:rPr>
          <w:noProof/>
        </w:rPr>
        <w:instrText xml:space="preserve"> PAGEREF _Toc447108884 \h </w:instrText>
      </w:r>
      <w:r>
        <w:rPr>
          <w:noProof/>
        </w:rPr>
      </w:r>
      <w:r>
        <w:rPr>
          <w:noProof/>
        </w:rPr>
        <w:fldChar w:fldCharType="separate"/>
      </w:r>
      <w:r>
        <w:rPr>
          <w:noProof/>
        </w:rPr>
        <w:t>2</w:t>
      </w:r>
      <w:r>
        <w:rPr>
          <w:noProof/>
        </w:rPr>
        <w:fldChar w:fldCharType="end"/>
      </w:r>
    </w:p>
    <w:p w:rsidR="006C18BA" w:rsidRDefault="006C18BA">
      <w:pPr>
        <w:pStyle w:val="Inhopg1"/>
        <w:rPr>
          <w:rFonts w:asciiTheme="minorHAnsi" w:eastAsiaTheme="minorEastAsia" w:hAnsiTheme="minorHAnsi" w:cstheme="minorBidi"/>
          <w:b w:val="0"/>
          <w:noProof/>
          <w:sz w:val="22"/>
          <w:szCs w:val="22"/>
          <w:lang w:val="nl-NL" w:eastAsia="nl-NL"/>
        </w:rPr>
      </w:pPr>
      <w:r>
        <w:rPr>
          <w:noProof/>
        </w:rPr>
        <w:t>1.</w:t>
      </w:r>
      <w:r>
        <w:rPr>
          <w:rFonts w:asciiTheme="minorHAnsi" w:eastAsiaTheme="minorEastAsia" w:hAnsiTheme="minorHAnsi" w:cstheme="minorBidi"/>
          <w:b w:val="0"/>
          <w:noProof/>
          <w:sz w:val="22"/>
          <w:szCs w:val="22"/>
          <w:lang w:val="nl-NL" w:eastAsia="nl-NL"/>
        </w:rPr>
        <w:tab/>
      </w:r>
      <w:r>
        <w:rPr>
          <w:noProof/>
        </w:rPr>
        <w:t>Introduction</w:t>
      </w:r>
      <w:r>
        <w:rPr>
          <w:noProof/>
        </w:rPr>
        <w:tab/>
      </w:r>
      <w:r>
        <w:rPr>
          <w:noProof/>
        </w:rPr>
        <w:fldChar w:fldCharType="begin"/>
      </w:r>
      <w:r>
        <w:rPr>
          <w:noProof/>
        </w:rPr>
        <w:instrText xml:space="preserve"> PAGEREF _Toc447108885 \h </w:instrText>
      </w:r>
      <w:r>
        <w:rPr>
          <w:noProof/>
        </w:rPr>
      </w:r>
      <w:r>
        <w:rPr>
          <w:noProof/>
        </w:rPr>
        <w:fldChar w:fldCharType="separate"/>
      </w:r>
      <w:r>
        <w:rPr>
          <w:noProof/>
        </w:rPr>
        <w:t>4</w:t>
      </w:r>
      <w:r>
        <w:rPr>
          <w:noProof/>
        </w:rPr>
        <w:fldChar w:fldCharType="end"/>
      </w:r>
    </w:p>
    <w:p w:rsidR="006C18BA" w:rsidRDefault="006C18BA">
      <w:pPr>
        <w:pStyle w:val="Inhopg1"/>
        <w:rPr>
          <w:rFonts w:asciiTheme="minorHAnsi" w:eastAsiaTheme="minorEastAsia" w:hAnsiTheme="minorHAnsi" w:cstheme="minorBidi"/>
          <w:b w:val="0"/>
          <w:noProof/>
          <w:sz w:val="22"/>
          <w:szCs w:val="22"/>
          <w:lang w:val="nl-NL" w:eastAsia="nl-NL"/>
        </w:rPr>
      </w:pPr>
      <w:r w:rsidRPr="00064D92">
        <w:rPr>
          <w:noProof/>
          <w:lang w:val="en-GB"/>
        </w:rPr>
        <w:t>2.</w:t>
      </w:r>
      <w:r>
        <w:rPr>
          <w:rFonts w:asciiTheme="minorHAnsi" w:eastAsiaTheme="minorEastAsia" w:hAnsiTheme="minorHAnsi" w:cstheme="minorBidi"/>
          <w:b w:val="0"/>
          <w:noProof/>
          <w:sz w:val="22"/>
          <w:szCs w:val="22"/>
          <w:lang w:val="nl-NL" w:eastAsia="nl-NL"/>
        </w:rPr>
        <w:tab/>
      </w:r>
      <w:r w:rsidRPr="00064D92">
        <w:rPr>
          <w:noProof/>
          <w:lang w:val="en-GB"/>
        </w:rPr>
        <w:t>External Approach</w:t>
      </w:r>
      <w:r>
        <w:rPr>
          <w:noProof/>
        </w:rPr>
        <w:tab/>
      </w:r>
      <w:r>
        <w:rPr>
          <w:noProof/>
        </w:rPr>
        <w:fldChar w:fldCharType="begin"/>
      </w:r>
      <w:r>
        <w:rPr>
          <w:noProof/>
        </w:rPr>
        <w:instrText xml:space="preserve"> PAGEREF _Toc447108886 \h </w:instrText>
      </w:r>
      <w:r>
        <w:rPr>
          <w:noProof/>
        </w:rPr>
      </w:r>
      <w:r>
        <w:rPr>
          <w:noProof/>
        </w:rPr>
        <w:fldChar w:fldCharType="separate"/>
      </w:r>
      <w:r>
        <w:rPr>
          <w:noProof/>
        </w:rPr>
        <w:t>5</w:t>
      </w:r>
      <w:r>
        <w:rPr>
          <w:noProof/>
        </w:rPr>
        <w:fldChar w:fldCharType="end"/>
      </w:r>
    </w:p>
    <w:p w:rsidR="006C18BA" w:rsidRDefault="006C18BA">
      <w:pPr>
        <w:pStyle w:val="Inhopg1"/>
        <w:rPr>
          <w:rFonts w:asciiTheme="minorHAnsi" w:eastAsiaTheme="minorEastAsia" w:hAnsiTheme="minorHAnsi" w:cstheme="minorBidi"/>
          <w:b w:val="0"/>
          <w:noProof/>
          <w:sz w:val="22"/>
          <w:szCs w:val="22"/>
          <w:lang w:val="nl-NL" w:eastAsia="nl-NL"/>
        </w:rPr>
      </w:pPr>
      <w:r w:rsidRPr="00064D92">
        <w:rPr>
          <w:noProof/>
          <w:lang w:val="en-GB"/>
        </w:rPr>
        <w:t>3.</w:t>
      </w:r>
      <w:r>
        <w:rPr>
          <w:rFonts w:asciiTheme="minorHAnsi" w:eastAsiaTheme="minorEastAsia" w:hAnsiTheme="minorHAnsi" w:cstheme="minorBidi"/>
          <w:b w:val="0"/>
          <w:noProof/>
          <w:sz w:val="22"/>
          <w:szCs w:val="22"/>
          <w:lang w:val="nl-NL" w:eastAsia="nl-NL"/>
        </w:rPr>
        <w:tab/>
      </w:r>
      <w:r w:rsidRPr="00064D92">
        <w:rPr>
          <w:noProof/>
          <w:lang w:val="en-GB"/>
        </w:rPr>
        <w:t>Summary of visits</w:t>
      </w:r>
      <w:r>
        <w:rPr>
          <w:noProof/>
        </w:rPr>
        <w:tab/>
      </w:r>
      <w:r>
        <w:rPr>
          <w:noProof/>
        </w:rPr>
        <w:fldChar w:fldCharType="begin"/>
      </w:r>
      <w:r>
        <w:rPr>
          <w:noProof/>
        </w:rPr>
        <w:instrText xml:space="preserve"> PAGEREF _Toc447108887 \h </w:instrText>
      </w:r>
      <w:r>
        <w:rPr>
          <w:noProof/>
        </w:rPr>
      </w:r>
      <w:r>
        <w:rPr>
          <w:noProof/>
        </w:rPr>
        <w:fldChar w:fldCharType="separate"/>
      </w:r>
      <w:r>
        <w:rPr>
          <w:noProof/>
        </w:rPr>
        <w:t>7</w:t>
      </w:r>
      <w:r>
        <w:rPr>
          <w:noProof/>
        </w:rPr>
        <w:fldChar w:fldCharType="end"/>
      </w:r>
    </w:p>
    <w:p w:rsidR="006C18BA" w:rsidRDefault="006C18BA">
      <w:pPr>
        <w:pStyle w:val="Inhopg1"/>
        <w:rPr>
          <w:rFonts w:asciiTheme="minorHAnsi" w:eastAsiaTheme="minorEastAsia" w:hAnsiTheme="minorHAnsi" w:cstheme="minorBidi"/>
          <w:b w:val="0"/>
          <w:noProof/>
          <w:sz w:val="22"/>
          <w:szCs w:val="22"/>
          <w:lang w:val="nl-NL" w:eastAsia="nl-NL"/>
        </w:rPr>
      </w:pPr>
      <w:r w:rsidRPr="00064D92">
        <w:rPr>
          <w:noProof/>
          <w:lang w:val="en-GB"/>
        </w:rPr>
        <w:t>4.</w:t>
      </w:r>
      <w:r>
        <w:rPr>
          <w:rFonts w:asciiTheme="minorHAnsi" w:eastAsiaTheme="minorEastAsia" w:hAnsiTheme="minorHAnsi" w:cstheme="minorBidi"/>
          <w:b w:val="0"/>
          <w:noProof/>
          <w:sz w:val="22"/>
          <w:szCs w:val="22"/>
          <w:lang w:val="nl-NL" w:eastAsia="nl-NL"/>
        </w:rPr>
        <w:tab/>
      </w:r>
      <w:r w:rsidRPr="00064D92">
        <w:rPr>
          <w:noProof/>
          <w:lang w:val="en-GB"/>
        </w:rPr>
        <w:t>Business case calculation</w:t>
      </w:r>
      <w:r>
        <w:rPr>
          <w:noProof/>
        </w:rPr>
        <w:tab/>
      </w:r>
      <w:r>
        <w:rPr>
          <w:noProof/>
        </w:rPr>
        <w:fldChar w:fldCharType="begin"/>
      </w:r>
      <w:r>
        <w:rPr>
          <w:noProof/>
        </w:rPr>
        <w:instrText xml:space="preserve"> PAGEREF _Toc447108888 \h </w:instrText>
      </w:r>
      <w:r>
        <w:rPr>
          <w:noProof/>
        </w:rPr>
      </w:r>
      <w:r>
        <w:rPr>
          <w:noProof/>
        </w:rPr>
        <w:fldChar w:fldCharType="separate"/>
      </w:r>
      <w:r>
        <w:rPr>
          <w:noProof/>
        </w:rPr>
        <w:t>10</w:t>
      </w:r>
      <w:r>
        <w:rPr>
          <w:noProof/>
        </w:rPr>
        <w:fldChar w:fldCharType="end"/>
      </w:r>
    </w:p>
    <w:p w:rsidR="006C18BA" w:rsidRDefault="006C18BA">
      <w:pPr>
        <w:pStyle w:val="Inhopg1"/>
        <w:rPr>
          <w:rFonts w:asciiTheme="minorHAnsi" w:eastAsiaTheme="minorEastAsia" w:hAnsiTheme="minorHAnsi" w:cstheme="minorBidi"/>
          <w:b w:val="0"/>
          <w:noProof/>
          <w:sz w:val="22"/>
          <w:szCs w:val="22"/>
          <w:lang w:val="nl-NL" w:eastAsia="nl-NL"/>
        </w:rPr>
      </w:pPr>
      <w:r w:rsidRPr="00064D92">
        <w:rPr>
          <w:noProof/>
          <w:lang w:val="en-GB"/>
        </w:rPr>
        <w:t>5.</w:t>
      </w:r>
      <w:r>
        <w:rPr>
          <w:rFonts w:asciiTheme="minorHAnsi" w:eastAsiaTheme="minorEastAsia" w:hAnsiTheme="minorHAnsi" w:cstheme="minorBidi"/>
          <w:b w:val="0"/>
          <w:noProof/>
          <w:sz w:val="22"/>
          <w:szCs w:val="22"/>
          <w:lang w:val="nl-NL" w:eastAsia="nl-NL"/>
        </w:rPr>
        <w:tab/>
      </w:r>
      <w:r w:rsidRPr="00064D92">
        <w:rPr>
          <w:noProof/>
          <w:lang w:val="en-GB"/>
        </w:rPr>
        <w:t>Recommendations for further use of the HetD pilot installation</w:t>
      </w:r>
      <w:r>
        <w:rPr>
          <w:noProof/>
        </w:rPr>
        <w:tab/>
      </w:r>
      <w:r>
        <w:rPr>
          <w:noProof/>
        </w:rPr>
        <w:fldChar w:fldCharType="begin"/>
      </w:r>
      <w:r>
        <w:rPr>
          <w:noProof/>
        </w:rPr>
        <w:instrText xml:space="preserve"> PAGEREF _Toc447108889 \h </w:instrText>
      </w:r>
      <w:r>
        <w:rPr>
          <w:noProof/>
        </w:rPr>
      </w:r>
      <w:r>
        <w:rPr>
          <w:noProof/>
        </w:rPr>
        <w:fldChar w:fldCharType="separate"/>
      </w:r>
      <w:r>
        <w:rPr>
          <w:noProof/>
        </w:rPr>
        <w:t>12</w:t>
      </w:r>
      <w:r>
        <w:rPr>
          <w:noProof/>
        </w:rPr>
        <w:fldChar w:fldCharType="end"/>
      </w:r>
    </w:p>
    <w:p w:rsidR="006C18BA" w:rsidRDefault="006C18BA">
      <w:pPr>
        <w:pStyle w:val="Inhopg1"/>
        <w:rPr>
          <w:rFonts w:asciiTheme="minorHAnsi" w:eastAsiaTheme="minorEastAsia" w:hAnsiTheme="minorHAnsi" w:cstheme="minorBidi"/>
          <w:b w:val="0"/>
          <w:noProof/>
          <w:sz w:val="22"/>
          <w:szCs w:val="22"/>
          <w:lang w:val="nl-NL" w:eastAsia="nl-NL"/>
        </w:rPr>
      </w:pPr>
      <w:r>
        <w:rPr>
          <w:noProof/>
        </w:rPr>
        <w:t>A. Dissemination documents</w:t>
      </w:r>
      <w:r>
        <w:rPr>
          <w:noProof/>
        </w:rPr>
        <w:tab/>
      </w:r>
      <w:r>
        <w:rPr>
          <w:noProof/>
        </w:rPr>
        <w:fldChar w:fldCharType="begin"/>
      </w:r>
      <w:r>
        <w:rPr>
          <w:noProof/>
        </w:rPr>
        <w:instrText xml:space="preserve"> PAGEREF _Toc447108890 \h </w:instrText>
      </w:r>
      <w:r>
        <w:rPr>
          <w:noProof/>
        </w:rPr>
      </w:r>
      <w:r>
        <w:rPr>
          <w:noProof/>
        </w:rPr>
        <w:fldChar w:fldCharType="separate"/>
      </w:r>
      <w:r>
        <w:rPr>
          <w:noProof/>
        </w:rPr>
        <w:t>15</w:t>
      </w:r>
      <w:r>
        <w:rPr>
          <w:noProof/>
        </w:rPr>
        <w:fldChar w:fldCharType="end"/>
      </w:r>
    </w:p>
    <w:p w:rsidR="00D15354" w:rsidRPr="001254C3" w:rsidRDefault="001747BC" w:rsidP="001254C3">
      <w:pPr>
        <w:pStyle w:val="01Rapporttekst"/>
        <w:rPr>
          <w:highlight w:val="lightGray"/>
        </w:rPr>
      </w:pPr>
      <w:r w:rsidRPr="00F50F86">
        <w:rPr>
          <w:highlight w:val="lightGray"/>
        </w:rPr>
        <w:fldChar w:fldCharType="end"/>
      </w:r>
    </w:p>
    <w:p w:rsidR="00D15354" w:rsidRDefault="001747BC" w:rsidP="001254C3">
      <w:pPr>
        <w:pStyle w:val="Kop1"/>
      </w:pPr>
      <w:r w:rsidRPr="001254C3">
        <w:rPr>
          <w:highlight w:val="lightGray"/>
        </w:rPr>
        <w:br w:type="page"/>
      </w:r>
      <w:bookmarkStart w:id="4" w:name="_Toc447108885"/>
      <w:r w:rsidR="001254C3">
        <w:lastRenderedPageBreak/>
        <w:t>Introduction</w:t>
      </w:r>
      <w:bookmarkEnd w:id="4"/>
      <w:r w:rsidR="001254C3" w:rsidRPr="001254C3">
        <w:t xml:space="preserve"> </w:t>
      </w:r>
    </w:p>
    <w:p w:rsidR="00C330E2" w:rsidRPr="00C330E2" w:rsidRDefault="00C330E2" w:rsidP="00C330E2">
      <w:pPr>
        <w:jc w:val="both"/>
        <w:rPr>
          <w:lang w:val="en-GB"/>
        </w:rPr>
      </w:pPr>
      <w:r w:rsidRPr="00C330E2">
        <w:rPr>
          <w:lang w:val="en-GB"/>
        </w:rPr>
        <w:t xml:space="preserve">The ISPT HetD project (code DV-20-01) is realized through a cooperation between TNO, Huntsman, ISPT, the Port of Rotterdam and Plant One. Plant One is the Rotterdam-Rijnmond region’s test facility for new process technology with the principle goal of encouraging and accelerating the process of sustainable development in the chemical sector. The HetD project fits well with this goal for two reasons. First, the project was mainly started to realize the set up and use of a large pilot installation at Plant One, originally constructed in the US, to test a novel catalyst and its stability under representative regeneration cycles for Huntsman (Phase 1). If successful, this would result in substantial energy savings and an increase in sustainability of the full process. Second, as part of the project in addition to the tests and following their completion, a collection of possible value propositions for use of the installation realized by the project for the Dutch process community were to be collected and presented (Phase 2). The purpose of this second phase was to enable the opportunity, also for parties other than the consortium members, to keep the facilities created by the project available and accessible for the Dutch process community, on a commercial basis after the completion of the HetD project. Last year, the first phase of the project was completed and the second phase commenced to determine the potential opportunities for further use of the installation in the chemical conversion sector. </w:t>
      </w:r>
    </w:p>
    <w:p w:rsidR="00C330E2" w:rsidRPr="00C330E2" w:rsidRDefault="00C330E2" w:rsidP="00C330E2">
      <w:pPr>
        <w:jc w:val="both"/>
        <w:rPr>
          <w:lang w:val="en-GB"/>
        </w:rPr>
      </w:pPr>
    </w:p>
    <w:p w:rsidR="00C330E2" w:rsidRPr="00C330E2" w:rsidRDefault="00C330E2" w:rsidP="00C330E2">
      <w:pPr>
        <w:jc w:val="both"/>
        <w:rPr>
          <w:lang w:val="en-GB"/>
        </w:rPr>
      </w:pPr>
      <w:r w:rsidRPr="00C330E2">
        <w:rPr>
          <w:lang w:val="en-GB"/>
        </w:rPr>
        <w:t>To help assess the feasibility of the continued use of the HetD installation and of the business model for future users of the installation, TNO was requested to lead the 2</w:t>
      </w:r>
      <w:r w:rsidRPr="00C330E2">
        <w:rPr>
          <w:vertAlign w:val="superscript"/>
          <w:lang w:val="en-GB"/>
        </w:rPr>
        <w:t>nd</w:t>
      </w:r>
      <w:r w:rsidRPr="00C330E2">
        <w:rPr>
          <w:lang w:val="en-GB"/>
        </w:rPr>
        <w:t xml:space="preserve"> phase of the HetD project on behalf of the consortium, with the aim to identify and indicate possible future business opportunities and research activities that might be followed up for using the installation. Interested parties should investigate and determine for themselves whether the indicated opportunities can indeed be worked out to real and sound business cases. The main activities that were done in order to accomplish the goal of Phase 2 were:</w:t>
      </w:r>
    </w:p>
    <w:p w:rsidR="00C330E2" w:rsidRPr="00C330E2" w:rsidRDefault="00C330E2" w:rsidP="00C330E2">
      <w:pPr>
        <w:jc w:val="both"/>
        <w:rPr>
          <w:lang w:val="en-GB"/>
        </w:rPr>
      </w:pPr>
    </w:p>
    <w:p w:rsidR="00C330E2" w:rsidRPr="00C330E2" w:rsidRDefault="00C330E2" w:rsidP="00C330E2">
      <w:pPr>
        <w:numPr>
          <w:ilvl w:val="0"/>
          <w:numId w:val="37"/>
        </w:numPr>
        <w:jc w:val="both"/>
        <w:rPr>
          <w:lang w:val="en-GB"/>
        </w:rPr>
      </w:pPr>
      <w:r w:rsidRPr="00C330E2">
        <w:rPr>
          <w:lang w:val="en-GB"/>
        </w:rPr>
        <w:t>Brainstorm  to identify potential applications to be tested in the installation.</w:t>
      </w:r>
    </w:p>
    <w:p w:rsidR="00C330E2" w:rsidRPr="00C330E2" w:rsidRDefault="00C330E2" w:rsidP="00C330E2">
      <w:pPr>
        <w:numPr>
          <w:ilvl w:val="0"/>
          <w:numId w:val="37"/>
        </w:numPr>
        <w:jc w:val="both"/>
        <w:rPr>
          <w:lang w:val="en-GB"/>
        </w:rPr>
      </w:pPr>
      <w:r w:rsidRPr="00C330E2">
        <w:rPr>
          <w:lang w:val="en-GB"/>
        </w:rPr>
        <w:t>Create a list of potential clients/research project partners.</w:t>
      </w:r>
    </w:p>
    <w:p w:rsidR="00C330E2" w:rsidRPr="00C330E2" w:rsidRDefault="00C330E2" w:rsidP="00C330E2">
      <w:pPr>
        <w:numPr>
          <w:ilvl w:val="0"/>
          <w:numId w:val="37"/>
        </w:numPr>
        <w:jc w:val="both"/>
        <w:rPr>
          <w:lang w:val="en-GB"/>
        </w:rPr>
      </w:pPr>
      <w:r w:rsidRPr="00C330E2">
        <w:rPr>
          <w:lang w:val="en-GB"/>
        </w:rPr>
        <w:t>Perform a literature review and conduct interviews to define areas where catalytic pilot plant research could be applied.</w:t>
      </w:r>
    </w:p>
    <w:p w:rsidR="00C330E2" w:rsidRPr="00C330E2" w:rsidRDefault="00C330E2" w:rsidP="00C330E2">
      <w:pPr>
        <w:numPr>
          <w:ilvl w:val="0"/>
          <w:numId w:val="37"/>
        </w:numPr>
        <w:jc w:val="both"/>
        <w:rPr>
          <w:lang w:val="en-GB"/>
        </w:rPr>
      </w:pPr>
      <w:r w:rsidRPr="00C330E2">
        <w:rPr>
          <w:lang w:val="en-GB"/>
        </w:rPr>
        <w:t>Give a report on alternate plant applications based on the review and interview inputs.</w:t>
      </w:r>
    </w:p>
    <w:p w:rsidR="00C330E2" w:rsidRPr="00C330E2" w:rsidRDefault="00C330E2" w:rsidP="00C330E2">
      <w:pPr>
        <w:jc w:val="both"/>
        <w:rPr>
          <w:lang w:val="en-GB"/>
        </w:rPr>
      </w:pPr>
    </w:p>
    <w:p w:rsidR="00C330E2" w:rsidRPr="00C330E2" w:rsidRDefault="00C330E2" w:rsidP="00C330E2">
      <w:pPr>
        <w:jc w:val="both"/>
        <w:rPr>
          <w:lang w:val="en-GB"/>
        </w:rPr>
      </w:pPr>
      <w:r w:rsidRPr="00C330E2">
        <w:rPr>
          <w:lang w:val="en-GB"/>
        </w:rPr>
        <w:t>This report summarizes the input collected through the realization of the points described above. At the end of the report, a list of recommendations and conclusions are given which aim to advise how the business opportunities for Dutch industry involving the HetD installation can be optimized.</w:t>
      </w:r>
    </w:p>
    <w:p w:rsidR="00C330E2" w:rsidRDefault="00C330E2" w:rsidP="00C330E2">
      <w:pPr>
        <w:rPr>
          <w:lang w:val="en-GB"/>
        </w:rPr>
      </w:pPr>
    </w:p>
    <w:p w:rsidR="00D15354" w:rsidRDefault="00D15354" w:rsidP="00C330E2">
      <w:pPr>
        <w:rPr>
          <w:lang w:val="en-GB"/>
        </w:rPr>
      </w:pPr>
    </w:p>
    <w:p w:rsidR="00D15354" w:rsidRDefault="00D15354" w:rsidP="00C330E2">
      <w:pPr>
        <w:rPr>
          <w:lang w:val="en-GB"/>
        </w:rPr>
      </w:pPr>
    </w:p>
    <w:p w:rsidR="00D15354" w:rsidRDefault="00D15354" w:rsidP="00C330E2">
      <w:pPr>
        <w:rPr>
          <w:lang w:val="en-GB"/>
        </w:rPr>
      </w:pPr>
    </w:p>
    <w:p w:rsidR="00D15354" w:rsidRDefault="00D15354" w:rsidP="00C330E2">
      <w:pPr>
        <w:rPr>
          <w:lang w:val="en-GB"/>
        </w:rPr>
      </w:pPr>
    </w:p>
    <w:p w:rsidR="00D15354" w:rsidRPr="00C330E2" w:rsidRDefault="00D15354" w:rsidP="00C330E2">
      <w:pPr>
        <w:rPr>
          <w:lang w:val="en-GB"/>
        </w:rPr>
      </w:pPr>
    </w:p>
    <w:p w:rsidR="00C330E2" w:rsidRPr="00C330E2" w:rsidRDefault="00C330E2" w:rsidP="00C330E2">
      <w:pPr>
        <w:pStyle w:val="Kop1"/>
        <w:rPr>
          <w:lang w:val="en-GB"/>
        </w:rPr>
      </w:pPr>
      <w:bookmarkStart w:id="5" w:name="_Toc434328938"/>
      <w:bookmarkStart w:id="6" w:name="_Toc447108886"/>
      <w:r w:rsidRPr="00C330E2">
        <w:rPr>
          <w:lang w:val="en-GB"/>
        </w:rPr>
        <w:lastRenderedPageBreak/>
        <w:t>External Approach</w:t>
      </w:r>
      <w:bookmarkEnd w:id="5"/>
      <w:bookmarkEnd w:id="6"/>
    </w:p>
    <w:p w:rsidR="00C330E2" w:rsidRPr="00C330E2" w:rsidRDefault="00C330E2" w:rsidP="00C330E2">
      <w:pPr>
        <w:jc w:val="both"/>
        <w:rPr>
          <w:lang w:val="en-GB"/>
        </w:rPr>
      </w:pPr>
      <w:r w:rsidRPr="00C330E2">
        <w:rPr>
          <w:lang w:val="en-GB"/>
        </w:rPr>
        <w:t>In order to achieve the objective to assess the future business opportunities for the HetD installation, it was realized that using TNO’s extensive network in the chemicals and process industry and the Dutch research community, along with key contacts of the other partners, would be an efficient way to gain important insights. The following steps were taken in order to compile a comprehensive list of contacts who would be approached and interviewed:</w:t>
      </w:r>
    </w:p>
    <w:p w:rsidR="00C330E2" w:rsidRPr="00C330E2" w:rsidRDefault="00C330E2" w:rsidP="00C330E2">
      <w:pPr>
        <w:jc w:val="both"/>
        <w:rPr>
          <w:lang w:val="en-GB"/>
        </w:rPr>
      </w:pPr>
    </w:p>
    <w:p w:rsidR="00C330E2" w:rsidRPr="00C330E2" w:rsidRDefault="00C330E2" w:rsidP="00C330E2">
      <w:pPr>
        <w:jc w:val="both"/>
        <w:rPr>
          <w:b/>
          <w:lang w:val="en-GB"/>
        </w:rPr>
      </w:pPr>
      <w:r w:rsidRPr="00C330E2">
        <w:rPr>
          <w:b/>
          <w:lang w:val="en-GB"/>
        </w:rPr>
        <w:t xml:space="preserve">Brainstorm to identify potential applications </w:t>
      </w:r>
    </w:p>
    <w:p w:rsidR="00C330E2" w:rsidRPr="00C330E2" w:rsidRDefault="00C330E2" w:rsidP="00C330E2">
      <w:pPr>
        <w:jc w:val="both"/>
        <w:rPr>
          <w:lang w:val="en-GB"/>
        </w:rPr>
      </w:pPr>
      <w:r w:rsidRPr="00C330E2">
        <w:rPr>
          <w:lang w:val="en-GB"/>
        </w:rPr>
        <w:t>TNO experts were gathered to compile a list of the various types of companies who could be interested in the installation, given the setup and materials used in its construction. The identified categories of companies were:</w:t>
      </w:r>
    </w:p>
    <w:p w:rsidR="00C330E2" w:rsidRPr="00C330E2" w:rsidRDefault="00C330E2" w:rsidP="00C330E2">
      <w:pPr>
        <w:jc w:val="both"/>
        <w:rPr>
          <w:lang w:val="en-GB"/>
        </w:rPr>
      </w:pPr>
    </w:p>
    <w:p w:rsidR="00C330E2" w:rsidRPr="00C330E2" w:rsidRDefault="00C330E2" w:rsidP="00C330E2">
      <w:pPr>
        <w:pStyle w:val="Lijstalinea"/>
        <w:numPr>
          <w:ilvl w:val="0"/>
          <w:numId w:val="39"/>
        </w:numPr>
        <w:ind w:left="530"/>
        <w:jc w:val="both"/>
        <w:rPr>
          <w:lang w:val="en-GB"/>
        </w:rPr>
      </w:pPr>
      <w:r w:rsidRPr="00C330E2">
        <w:rPr>
          <w:lang w:val="en-GB"/>
        </w:rPr>
        <w:t>Catalyst screening, process developing, and producing companies</w:t>
      </w:r>
    </w:p>
    <w:p w:rsidR="00C330E2" w:rsidRPr="00C330E2" w:rsidRDefault="00C330E2" w:rsidP="00C330E2">
      <w:pPr>
        <w:pStyle w:val="Lijstalinea"/>
        <w:numPr>
          <w:ilvl w:val="0"/>
          <w:numId w:val="39"/>
        </w:numPr>
        <w:ind w:left="530"/>
        <w:jc w:val="both"/>
        <w:rPr>
          <w:lang w:val="en-GB"/>
        </w:rPr>
      </w:pPr>
      <w:r w:rsidRPr="00C330E2">
        <w:rPr>
          <w:lang w:val="en-GB"/>
        </w:rPr>
        <w:t xml:space="preserve">Chemicals (amines) producing companies working on the replacement of processes which have salt as a by-product </w:t>
      </w:r>
    </w:p>
    <w:p w:rsidR="00C330E2" w:rsidRPr="00C330E2" w:rsidRDefault="00C330E2" w:rsidP="00C330E2">
      <w:pPr>
        <w:pStyle w:val="Lijstalinea"/>
        <w:numPr>
          <w:ilvl w:val="0"/>
          <w:numId w:val="39"/>
        </w:numPr>
        <w:ind w:left="530"/>
        <w:jc w:val="both"/>
        <w:rPr>
          <w:lang w:val="en-GB"/>
        </w:rPr>
      </w:pPr>
      <w:r w:rsidRPr="00C330E2">
        <w:rPr>
          <w:lang w:val="en-GB"/>
        </w:rPr>
        <w:t>Catalyst regeneration process owners</w:t>
      </w:r>
    </w:p>
    <w:p w:rsidR="00C330E2" w:rsidRPr="00C330E2" w:rsidRDefault="00C330E2" w:rsidP="00C330E2">
      <w:pPr>
        <w:pStyle w:val="Lijstalinea"/>
        <w:numPr>
          <w:ilvl w:val="0"/>
          <w:numId w:val="39"/>
        </w:numPr>
        <w:ind w:left="530"/>
        <w:jc w:val="both"/>
        <w:rPr>
          <w:lang w:val="en-GB"/>
        </w:rPr>
      </w:pPr>
      <w:r w:rsidRPr="00C330E2">
        <w:rPr>
          <w:lang w:val="en-GB"/>
        </w:rPr>
        <w:t>Other applications requiring packed beds, e.g. sorption.</w:t>
      </w:r>
    </w:p>
    <w:p w:rsidR="00C330E2" w:rsidRPr="00C330E2" w:rsidRDefault="00C330E2" w:rsidP="00C330E2">
      <w:pPr>
        <w:jc w:val="both"/>
        <w:rPr>
          <w:lang w:val="en-GB"/>
        </w:rPr>
      </w:pPr>
    </w:p>
    <w:p w:rsidR="00C330E2" w:rsidRDefault="00C330E2" w:rsidP="00C330E2">
      <w:pPr>
        <w:jc w:val="both"/>
        <w:rPr>
          <w:lang w:val="en-GB"/>
        </w:rPr>
      </w:pPr>
      <w:r w:rsidRPr="00C330E2">
        <w:rPr>
          <w:lang w:val="en-GB"/>
        </w:rPr>
        <w:t>The use of the installation for equipment testing and for training purposes are two applications that were identified late in the second phase of the project and so were not analysed in depth. Still, they are also described below.</w:t>
      </w:r>
    </w:p>
    <w:p w:rsidR="00C330E2" w:rsidRDefault="00C330E2" w:rsidP="00C330E2">
      <w:pPr>
        <w:jc w:val="both"/>
        <w:rPr>
          <w:lang w:val="en-GB"/>
        </w:rPr>
      </w:pPr>
    </w:p>
    <w:p w:rsidR="00C330E2" w:rsidRPr="00C330E2" w:rsidRDefault="00C330E2" w:rsidP="00C330E2">
      <w:pPr>
        <w:jc w:val="both"/>
        <w:rPr>
          <w:b/>
          <w:lang w:val="en-GB"/>
        </w:rPr>
      </w:pPr>
      <w:r w:rsidRPr="00C330E2">
        <w:rPr>
          <w:b/>
          <w:lang w:val="en-GB"/>
        </w:rPr>
        <w:t>Dissemination documents</w:t>
      </w:r>
    </w:p>
    <w:p w:rsidR="00C330E2" w:rsidRPr="00C330E2" w:rsidRDefault="00C330E2" w:rsidP="00C330E2">
      <w:pPr>
        <w:jc w:val="both"/>
        <w:rPr>
          <w:lang w:val="en-GB"/>
        </w:rPr>
      </w:pPr>
      <w:r w:rsidRPr="00C330E2">
        <w:rPr>
          <w:lang w:val="en-GB"/>
        </w:rPr>
        <w:t>Before contacts were made, two dissemination documents were put together by TNO and approved by the rest of the project consortium—a one page flyer that could be sent by email and a presentation to give during face-to-face meetings. These documents gave background on the project, details of the installation setup, operating ranges, and ideas for how the installation could be used further. These documents are shown in Appendix A.</w:t>
      </w:r>
    </w:p>
    <w:p w:rsidR="00C330E2" w:rsidRPr="00C330E2" w:rsidRDefault="00C330E2" w:rsidP="00C330E2">
      <w:pPr>
        <w:jc w:val="both"/>
        <w:rPr>
          <w:lang w:val="en-GB"/>
        </w:rPr>
      </w:pPr>
    </w:p>
    <w:p w:rsidR="00C330E2" w:rsidRPr="00C330E2" w:rsidRDefault="00C330E2" w:rsidP="00C330E2">
      <w:pPr>
        <w:jc w:val="both"/>
        <w:rPr>
          <w:b/>
          <w:lang w:val="en-GB"/>
        </w:rPr>
      </w:pPr>
      <w:r w:rsidRPr="00C330E2">
        <w:rPr>
          <w:b/>
          <w:lang w:val="en-GB"/>
        </w:rPr>
        <w:t>Interviews with the Dutch catalyst community</w:t>
      </w:r>
    </w:p>
    <w:p w:rsidR="00C330E2" w:rsidRPr="00C330E2" w:rsidRDefault="00C330E2" w:rsidP="00C330E2">
      <w:pPr>
        <w:jc w:val="both"/>
        <w:rPr>
          <w:lang w:val="en-GB"/>
        </w:rPr>
      </w:pPr>
      <w:r w:rsidRPr="00C330E2">
        <w:rPr>
          <w:lang w:val="en-GB"/>
        </w:rPr>
        <w:t>In order to help fill in the list of companies to approach, the plan was to first interview key members of the Dutch catalyst community, including professors and those previously involved in catalyst research. In practice, the catalyst community and industry contacts were interviewed in parallel, but several new ideas for processes which could be suitable for testing in the installation came out of the discussions.</w:t>
      </w:r>
    </w:p>
    <w:p w:rsidR="00C330E2" w:rsidRPr="00C330E2" w:rsidRDefault="00C330E2" w:rsidP="00C330E2">
      <w:pPr>
        <w:jc w:val="both"/>
        <w:rPr>
          <w:lang w:val="en-GB"/>
        </w:rPr>
      </w:pPr>
    </w:p>
    <w:p w:rsidR="00C330E2" w:rsidRPr="00C330E2" w:rsidRDefault="00C330E2" w:rsidP="00C330E2">
      <w:pPr>
        <w:jc w:val="both"/>
        <w:rPr>
          <w:lang w:val="en-GB"/>
        </w:rPr>
      </w:pPr>
      <w:r w:rsidRPr="00C330E2">
        <w:rPr>
          <w:lang w:val="en-GB"/>
        </w:rPr>
        <w:t xml:space="preserve">Meetings were able to be arranged with two contacts within the time frame of this phase of the project, with a third contact interviewed through email. The contacts were from Wageningen University, University of Utrecht, and affiliated with ISPT. As it was not stated before that these results would be publicized, the names of the individuals who were interviewed are not given here. </w:t>
      </w:r>
    </w:p>
    <w:p w:rsidR="00C330E2" w:rsidRPr="00C330E2" w:rsidRDefault="00C330E2" w:rsidP="00C330E2">
      <w:pPr>
        <w:jc w:val="both"/>
        <w:rPr>
          <w:lang w:val="en-GB"/>
        </w:rPr>
      </w:pPr>
    </w:p>
    <w:p w:rsidR="00D15354" w:rsidRDefault="00D15354" w:rsidP="00C330E2">
      <w:pPr>
        <w:jc w:val="both"/>
        <w:rPr>
          <w:b/>
          <w:lang w:val="en-GB"/>
        </w:rPr>
      </w:pPr>
    </w:p>
    <w:p w:rsidR="00C330E2" w:rsidRPr="00C330E2" w:rsidRDefault="00C330E2" w:rsidP="00C330E2">
      <w:pPr>
        <w:jc w:val="both"/>
        <w:rPr>
          <w:b/>
          <w:lang w:val="en-GB"/>
        </w:rPr>
      </w:pPr>
      <w:r w:rsidRPr="00C330E2">
        <w:rPr>
          <w:b/>
          <w:lang w:val="en-GB"/>
        </w:rPr>
        <w:lastRenderedPageBreak/>
        <w:t>Interviews with relevant companies</w:t>
      </w:r>
    </w:p>
    <w:p w:rsidR="00C330E2" w:rsidRPr="00C330E2" w:rsidRDefault="00C330E2" w:rsidP="00C330E2">
      <w:pPr>
        <w:jc w:val="both"/>
        <w:rPr>
          <w:lang w:val="en-GB"/>
        </w:rPr>
      </w:pPr>
      <w:r w:rsidRPr="00C330E2">
        <w:rPr>
          <w:lang w:val="en-GB"/>
        </w:rPr>
        <w:t xml:space="preserve">Several companies were approached, based on TNO’s own network, key contacts from the other consortium partners, and the discussions with the catalyst community, as shown in </w:t>
      </w:r>
      <w:r w:rsidRPr="00C330E2">
        <w:rPr>
          <w:lang w:val="en-GB"/>
        </w:rPr>
        <w:fldChar w:fldCharType="begin"/>
      </w:r>
      <w:r w:rsidRPr="00C330E2">
        <w:rPr>
          <w:lang w:val="en-GB"/>
        </w:rPr>
        <w:instrText xml:space="preserve"> REF _Ref434329511 \h </w:instrText>
      </w:r>
      <w:r w:rsidRPr="00C330E2">
        <w:rPr>
          <w:lang w:val="en-GB"/>
        </w:rPr>
      </w:r>
      <w:r w:rsidRPr="00C330E2">
        <w:rPr>
          <w:lang w:val="en-GB"/>
        </w:rPr>
        <w:fldChar w:fldCharType="separate"/>
      </w:r>
      <w:r w:rsidRPr="00C330E2">
        <w:rPr>
          <w:lang w:val="en-GB"/>
        </w:rPr>
        <w:t>Table 1</w:t>
      </w:r>
      <w:r w:rsidRPr="00C330E2">
        <w:rPr>
          <w:lang w:val="en-GB"/>
        </w:rPr>
        <w:fldChar w:fldCharType="end"/>
      </w:r>
      <w:r w:rsidRPr="00C330E2">
        <w:rPr>
          <w:lang w:val="en-GB"/>
        </w:rPr>
        <w:t xml:space="preserve">. During this phase of the project, new contacts were also made through other channels, such as visits to conferences and other project meetings. In some cases, a meeting could not be arranged due to explicit lack of interest or no response after repeated contact attempts from TNO’s side. </w:t>
      </w:r>
    </w:p>
    <w:p w:rsidR="00C330E2" w:rsidRPr="00C330E2" w:rsidRDefault="00C330E2" w:rsidP="00C330E2">
      <w:pPr>
        <w:jc w:val="both"/>
        <w:rPr>
          <w:lang w:val="en-GB"/>
        </w:rPr>
      </w:pPr>
    </w:p>
    <w:p w:rsidR="00C330E2" w:rsidRDefault="00C330E2" w:rsidP="00C330E2">
      <w:pPr>
        <w:jc w:val="both"/>
        <w:rPr>
          <w:lang w:val="en-GB"/>
        </w:rPr>
      </w:pPr>
      <w:r w:rsidRPr="00C330E2">
        <w:rPr>
          <w:lang w:val="en-GB"/>
        </w:rPr>
        <w:t>The names of specific companies and persons are not given here as it was not stated beforehand that the results would be publicized, but instead the types of companies are shown below, as per the categories identified above.</w:t>
      </w:r>
    </w:p>
    <w:p w:rsidR="00C330E2" w:rsidRPr="00C330E2" w:rsidRDefault="00C330E2" w:rsidP="00C330E2">
      <w:pPr>
        <w:jc w:val="both"/>
        <w:rPr>
          <w:lang w:val="en-GB"/>
        </w:rPr>
      </w:pPr>
    </w:p>
    <w:p w:rsidR="00C330E2" w:rsidRPr="00C330E2" w:rsidRDefault="00C330E2" w:rsidP="00D01077">
      <w:pPr>
        <w:spacing w:line="360" w:lineRule="auto"/>
        <w:jc w:val="both"/>
        <w:rPr>
          <w:b/>
          <w:sz w:val="16"/>
          <w:lang w:val="en-GB"/>
        </w:rPr>
      </w:pPr>
      <w:bookmarkStart w:id="7" w:name="_Ref434329511"/>
      <w:r w:rsidRPr="00C330E2">
        <w:rPr>
          <w:b/>
          <w:sz w:val="16"/>
          <w:lang w:val="en-GB"/>
        </w:rPr>
        <w:t xml:space="preserve">Table </w:t>
      </w:r>
      <w:r w:rsidRPr="00C330E2">
        <w:rPr>
          <w:b/>
          <w:sz w:val="16"/>
          <w:lang w:val="en-GB"/>
        </w:rPr>
        <w:fldChar w:fldCharType="begin"/>
      </w:r>
      <w:r w:rsidRPr="00C330E2">
        <w:rPr>
          <w:b/>
          <w:sz w:val="16"/>
          <w:lang w:val="en-GB"/>
        </w:rPr>
        <w:instrText xml:space="preserve"> SEQ Table \* ARABIC </w:instrText>
      </w:r>
      <w:r w:rsidRPr="00C330E2">
        <w:rPr>
          <w:b/>
          <w:sz w:val="16"/>
          <w:lang w:val="en-GB"/>
        </w:rPr>
        <w:fldChar w:fldCharType="separate"/>
      </w:r>
      <w:r w:rsidRPr="00C330E2">
        <w:rPr>
          <w:b/>
          <w:sz w:val="16"/>
          <w:lang w:val="en-GB"/>
        </w:rPr>
        <w:t>1</w:t>
      </w:r>
      <w:r w:rsidRPr="00C330E2">
        <w:rPr>
          <w:b/>
          <w:sz w:val="16"/>
          <w:lang w:val="en-GB"/>
        </w:rPr>
        <w:fldChar w:fldCharType="end"/>
      </w:r>
      <w:bookmarkEnd w:id="7"/>
      <w:r w:rsidRPr="00C330E2">
        <w:rPr>
          <w:b/>
          <w:sz w:val="16"/>
          <w:lang w:val="en-GB"/>
        </w:rPr>
        <w:t xml:space="preserve"> Types of companies that were approached from the different identified sectors</w:t>
      </w:r>
    </w:p>
    <w:tbl>
      <w:tblPr>
        <w:tblStyle w:val="Kleurrijkraster-accent1"/>
        <w:tblW w:w="0" w:type="auto"/>
        <w:tblLayout w:type="fixed"/>
        <w:tblLook w:val="04A0" w:firstRow="1" w:lastRow="0" w:firstColumn="1" w:lastColumn="0" w:noHBand="0" w:noVBand="1"/>
      </w:tblPr>
      <w:tblGrid>
        <w:gridCol w:w="2376"/>
        <w:gridCol w:w="2268"/>
        <w:gridCol w:w="1276"/>
        <w:gridCol w:w="3260"/>
      </w:tblGrid>
      <w:tr w:rsidR="00C330E2" w:rsidRPr="00C330E2" w:rsidTr="00C3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330E2" w:rsidRPr="00C330E2" w:rsidRDefault="00C330E2" w:rsidP="00C330E2">
            <w:pPr>
              <w:rPr>
                <w:lang w:val="en-GB"/>
              </w:rPr>
            </w:pPr>
          </w:p>
        </w:tc>
        <w:tc>
          <w:tcPr>
            <w:tcW w:w="2268" w:type="dxa"/>
            <w:vAlign w:val="center"/>
          </w:tcPr>
          <w:p w:rsidR="00C330E2" w:rsidRPr="00C330E2" w:rsidRDefault="00C330E2" w:rsidP="00C330E2">
            <w:pPr>
              <w:cnfStyle w:val="100000000000" w:firstRow="1" w:lastRow="0" w:firstColumn="0" w:lastColumn="0" w:oddVBand="0" w:evenVBand="0" w:oddHBand="0" w:evenHBand="0" w:firstRowFirstColumn="0" w:firstRowLastColumn="0" w:lastRowFirstColumn="0" w:lastRowLastColumn="0"/>
              <w:rPr>
                <w:lang w:val="en-GB"/>
              </w:rPr>
            </w:pPr>
            <w:r w:rsidRPr="00C330E2">
              <w:rPr>
                <w:lang w:val="en-GB"/>
              </w:rPr>
              <w:t>Company type</w:t>
            </w:r>
          </w:p>
        </w:tc>
        <w:tc>
          <w:tcPr>
            <w:tcW w:w="1276" w:type="dxa"/>
            <w:vAlign w:val="center"/>
          </w:tcPr>
          <w:p w:rsidR="00C330E2" w:rsidRPr="00C330E2" w:rsidRDefault="00C330E2" w:rsidP="00C330E2">
            <w:pPr>
              <w:cnfStyle w:val="100000000000" w:firstRow="1" w:lastRow="0" w:firstColumn="0" w:lastColumn="0" w:oddVBand="0" w:evenVBand="0" w:oddHBand="0" w:evenHBand="0" w:firstRowFirstColumn="0" w:firstRowLastColumn="0" w:lastRowFirstColumn="0" w:lastRowLastColumn="0"/>
              <w:rPr>
                <w:lang w:val="en-GB"/>
              </w:rPr>
            </w:pPr>
            <w:r w:rsidRPr="00C330E2">
              <w:rPr>
                <w:lang w:val="en-GB"/>
              </w:rPr>
              <w:t>Number contacted</w:t>
            </w:r>
          </w:p>
        </w:tc>
        <w:tc>
          <w:tcPr>
            <w:tcW w:w="3260" w:type="dxa"/>
            <w:vAlign w:val="center"/>
          </w:tcPr>
          <w:p w:rsidR="00C330E2" w:rsidRPr="00C330E2" w:rsidRDefault="00C330E2" w:rsidP="00C330E2">
            <w:pPr>
              <w:cnfStyle w:val="100000000000" w:firstRow="1" w:lastRow="0" w:firstColumn="0" w:lastColumn="0" w:oddVBand="0" w:evenVBand="0" w:oddHBand="0" w:evenHBand="0" w:firstRowFirstColumn="0" w:firstRowLastColumn="0" w:lastRowFirstColumn="0" w:lastRowLastColumn="0"/>
              <w:rPr>
                <w:lang w:val="en-GB"/>
              </w:rPr>
            </w:pPr>
            <w:r w:rsidRPr="00C330E2">
              <w:rPr>
                <w:lang w:val="en-GB"/>
              </w:rPr>
              <w:t>Responses</w:t>
            </w:r>
          </w:p>
        </w:tc>
      </w:tr>
      <w:tr w:rsidR="00C330E2" w:rsidRPr="00C330E2" w:rsidTr="00C3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rsidR="00C330E2" w:rsidRPr="00C330E2" w:rsidRDefault="00C330E2" w:rsidP="00C330E2">
            <w:pPr>
              <w:rPr>
                <w:lang w:val="en-GB"/>
              </w:rPr>
            </w:pPr>
            <w:r w:rsidRPr="00C330E2">
              <w:rPr>
                <w:lang w:val="en-GB"/>
              </w:rPr>
              <w:t>Catalyst screening, process developing, and producing companies</w:t>
            </w:r>
          </w:p>
        </w:tc>
        <w:tc>
          <w:tcPr>
            <w:tcW w:w="2268"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Large multi-national</w:t>
            </w:r>
          </w:p>
        </w:tc>
        <w:tc>
          <w:tcPr>
            <w:tcW w:w="1276"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3</w:t>
            </w:r>
          </w:p>
        </w:tc>
        <w:tc>
          <w:tcPr>
            <w:tcW w:w="3260"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2 interviewed; 1 did not respond</w:t>
            </w:r>
          </w:p>
        </w:tc>
      </w:tr>
      <w:tr w:rsidR="00C330E2" w:rsidRPr="00C330E2" w:rsidTr="00C330E2">
        <w:tc>
          <w:tcPr>
            <w:cnfStyle w:val="001000000000" w:firstRow="0" w:lastRow="0" w:firstColumn="1" w:lastColumn="0" w:oddVBand="0" w:evenVBand="0" w:oddHBand="0" w:evenHBand="0" w:firstRowFirstColumn="0" w:firstRowLastColumn="0" w:lastRowFirstColumn="0" w:lastRowLastColumn="0"/>
            <w:tcW w:w="2376" w:type="dxa"/>
            <w:vMerge/>
            <w:vAlign w:val="center"/>
          </w:tcPr>
          <w:p w:rsidR="00C330E2" w:rsidRPr="00C330E2" w:rsidRDefault="00C330E2" w:rsidP="00C330E2">
            <w:pPr>
              <w:rPr>
                <w:lang w:val="en-GB"/>
              </w:rPr>
            </w:pPr>
          </w:p>
        </w:tc>
        <w:tc>
          <w:tcPr>
            <w:tcW w:w="2268" w:type="dxa"/>
            <w:vAlign w:val="center"/>
          </w:tcPr>
          <w:p w:rsidR="00C330E2" w:rsidRPr="00C330E2" w:rsidRDefault="00C330E2" w:rsidP="00C330E2">
            <w:pPr>
              <w:cnfStyle w:val="000000000000" w:firstRow="0" w:lastRow="0" w:firstColumn="0" w:lastColumn="0" w:oddVBand="0" w:evenVBand="0" w:oddHBand="0" w:evenHBand="0" w:firstRowFirstColumn="0" w:firstRowLastColumn="0" w:lastRowFirstColumn="0" w:lastRowLastColumn="0"/>
              <w:rPr>
                <w:lang w:val="en-GB"/>
              </w:rPr>
            </w:pPr>
            <w:r w:rsidRPr="00C330E2">
              <w:rPr>
                <w:lang w:val="en-GB"/>
              </w:rPr>
              <w:t>Large Dutch industry</w:t>
            </w:r>
          </w:p>
        </w:tc>
        <w:tc>
          <w:tcPr>
            <w:tcW w:w="1276" w:type="dxa"/>
            <w:vAlign w:val="center"/>
          </w:tcPr>
          <w:p w:rsidR="00C330E2" w:rsidRPr="00C330E2" w:rsidRDefault="00C330E2" w:rsidP="00C330E2">
            <w:pPr>
              <w:cnfStyle w:val="000000000000" w:firstRow="0" w:lastRow="0" w:firstColumn="0" w:lastColumn="0" w:oddVBand="0" w:evenVBand="0" w:oddHBand="0" w:evenHBand="0" w:firstRowFirstColumn="0" w:firstRowLastColumn="0" w:lastRowFirstColumn="0" w:lastRowLastColumn="0"/>
              <w:rPr>
                <w:lang w:val="en-GB"/>
              </w:rPr>
            </w:pPr>
            <w:r w:rsidRPr="00C330E2">
              <w:rPr>
                <w:lang w:val="en-GB"/>
              </w:rPr>
              <w:t>1</w:t>
            </w:r>
          </w:p>
        </w:tc>
        <w:tc>
          <w:tcPr>
            <w:tcW w:w="3260" w:type="dxa"/>
            <w:vAlign w:val="center"/>
          </w:tcPr>
          <w:p w:rsidR="00C330E2" w:rsidRPr="00C330E2" w:rsidRDefault="00C330E2" w:rsidP="00C330E2">
            <w:pPr>
              <w:cnfStyle w:val="000000000000" w:firstRow="0" w:lastRow="0" w:firstColumn="0" w:lastColumn="0" w:oddVBand="0" w:evenVBand="0" w:oddHBand="0" w:evenHBand="0" w:firstRowFirstColumn="0" w:firstRowLastColumn="0" w:lastRowFirstColumn="0" w:lastRowLastColumn="0"/>
              <w:rPr>
                <w:lang w:val="en-GB"/>
              </w:rPr>
            </w:pPr>
            <w:r w:rsidRPr="00C330E2">
              <w:rPr>
                <w:lang w:val="en-GB"/>
              </w:rPr>
              <w:t>Did not respond</w:t>
            </w:r>
          </w:p>
        </w:tc>
      </w:tr>
      <w:tr w:rsidR="00C330E2" w:rsidRPr="00C330E2" w:rsidTr="00C33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rsidR="00C330E2" w:rsidRPr="00C330E2" w:rsidRDefault="00C330E2" w:rsidP="00C330E2">
            <w:pPr>
              <w:rPr>
                <w:lang w:val="en-GB"/>
              </w:rPr>
            </w:pPr>
          </w:p>
        </w:tc>
        <w:tc>
          <w:tcPr>
            <w:tcW w:w="2268"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SME</w:t>
            </w:r>
          </w:p>
        </w:tc>
        <w:tc>
          <w:tcPr>
            <w:tcW w:w="1276"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2</w:t>
            </w:r>
          </w:p>
        </w:tc>
        <w:tc>
          <w:tcPr>
            <w:tcW w:w="3260"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Both interviewed</w:t>
            </w:r>
          </w:p>
        </w:tc>
      </w:tr>
      <w:tr w:rsidR="00C330E2" w:rsidRPr="00D01077" w:rsidTr="00C330E2">
        <w:trPr>
          <w:cantSplit/>
          <w:trHeight w:val="227"/>
        </w:trPr>
        <w:tc>
          <w:tcPr>
            <w:cnfStyle w:val="001000000000" w:firstRow="0" w:lastRow="0" w:firstColumn="1" w:lastColumn="0" w:oddVBand="0" w:evenVBand="0" w:oddHBand="0" w:evenHBand="0" w:firstRowFirstColumn="0" w:firstRowLastColumn="0" w:lastRowFirstColumn="0" w:lastRowLastColumn="0"/>
            <w:tcW w:w="2376" w:type="dxa"/>
            <w:vAlign w:val="center"/>
          </w:tcPr>
          <w:p w:rsidR="00C330E2" w:rsidRPr="00C330E2" w:rsidRDefault="00C330E2" w:rsidP="00C330E2">
            <w:pPr>
              <w:rPr>
                <w:lang w:val="en-GB"/>
              </w:rPr>
            </w:pPr>
            <w:r w:rsidRPr="00C330E2">
              <w:rPr>
                <w:lang w:val="en-GB"/>
              </w:rPr>
              <w:t>Chemicals (amines) producing companies  with salt by-product</w:t>
            </w:r>
          </w:p>
        </w:tc>
        <w:tc>
          <w:tcPr>
            <w:tcW w:w="2268" w:type="dxa"/>
            <w:vAlign w:val="center"/>
          </w:tcPr>
          <w:p w:rsidR="00C330E2" w:rsidRPr="00C330E2" w:rsidRDefault="00C330E2" w:rsidP="00C330E2">
            <w:pPr>
              <w:cnfStyle w:val="000000000000" w:firstRow="0" w:lastRow="0" w:firstColumn="0" w:lastColumn="0" w:oddVBand="0" w:evenVBand="0" w:oddHBand="0" w:evenHBand="0" w:firstRowFirstColumn="0" w:firstRowLastColumn="0" w:lastRowFirstColumn="0" w:lastRowLastColumn="0"/>
              <w:rPr>
                <w:lang w:val="en-GB"/>
              </w:rPr>
            </w:pPr>
            <w:r w:rsidRPr="00C330E2">
              <w:rPr>
                <w:lang w:val="en-GB"/>
              </w:rPr>
              <w:t>Large multi-national</w:t>
            </w:r>
          </w:p>
        </w:tc>
        <w:tc>
          <w:tcPr>
            <w:tcW w:w="1276" w:type="dxa"/>
            <w:vAlign w:val="center"/>
          </w:tcPr>
          <w:p w:rsidR="00C330E2" w:rsidRPr="00C330E2" w:rsidRDefault="00C330E2" w:rsidP="00C330E2">
            <w:pPr>
              <w:cnfStyle w:val="000000000000" w:firstRow="0" w:lastRow="0" w:firstColumn="0" w:lastColumn="0" w:oddVBand="0" w:evenVBand="0" w:oddHBand="0" w:evenHBand="0" w:firstRowFirstColumn="0" w:firstRowLastColumn="0" w:lastRowFirstColumn="0" w:lastRowLastColumn="0"/>
              <w:rPr>
                <w:lang w:val="en-GB"/>
              </w:rPr>
            </w:pPr>
            <w:r w:rsidRPr="00C330E2">
              <w:rPr>
                <w:lang w:val="en-GB"/>
              </w:rPr>
              <w:t>4</w:t>
            </w:r>
          </w:p>
        </w:tc>
        <w:tc>
          <w:tcPr>
            <w:tcW w:w="3260" w:type="dxa"/>
            <w:vAlign w:val="center"/>
          </w:tcPr>
          <w:p w:rsidR="00C330E2" w:rsidRPr="00C330E2" w:rsidRDefault="00C330E2" w:rsidP="00C330E2">
            <w:pPr>
              <w:cnfStyle w:val="000000000000" w:firstRow="0" w:lastRow="0" w:firstColumn="0" w:lastColumn="0" w:oddVBand="0" w:evenVBand="0" w:oddHBand="0" w:evenHBand="0" w:firstRowFirstColumn="0" w:firstRowLastColumn="0" w:lastRowFirstColumn="0" w:lastRowLastColumn="0"/>
              <w:rPr>
                <w:lang w:val="en-GB"/>
              </w:rPr>
            </w:pPr>
            <w:r w:rsidRPr="00C330E2">
              <w:rPr>
                <w:lang w:val="en-GB"/>
              </w:rPr>
              <w:t>1 interviewed; 2 showed no further interest; 1 did not respond</w:t>
            </w:r>
          </w:p>
        </w:tc>
      </w:tr>
      <w:tr w:rsidR="00C330E2" w:rsidRPr="00D01077" w:rsidTr="00C330E2">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rsidR="00C330E2" w:rsidRPr="00C330E2" w:rsidRDefault="00C330E2" w:rsidP="00C330E2">
            <w:pPr>
              <w:rPr>
                <w:lang w:val="en-GB"/>
              </w:rPr>
            </w:pPr>
            <w:r w:rsidRPr="00C330E2">
              <w:rPr>
                <w:lang w:val="en-GB"/>
              </w:rPr>
              <w:t>Leads for other applications</w:t>
            </w:r>
          </w:p>
        </w:tc>
        <w:tc>
          <w:tcPr>
            <w:tcW w:w="2268"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Large multi-national</w:t>
            </w:r>
          </w:p>
        </w:tc>
        <w:tc>
          <w:tcPr>
            <w:tcW w:w="1276"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3</w:t>
            </w:r>
          </w:p>
        </w:tc>
        <w:tc>
          <w:tcPr>
            <w:tcW w:w="3260"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1 with ongoing contacts; 2 did not respond</w:t>
            </w:r>
          </w:p>
        </w:tc>
      </w:tr>
      <w:tr w:rsidR="00C330E2" w:rsidRPr="00C330E2" w:rsidTr="00C330E2">
        <w:trPr>
          <w:cantSplit/>
          <w:trHeight w:val="22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rsidR="00C330E2" w:rsidRPr="00C330E2" w:rsidRDefault="00C330E2" w:rsidP="00C330E2">
            <w:pPr>
              <w:rPr>
                <w:lang w:val="en-GB"/>
              </w:rPr>
            </w:pPr>
          </w:p>
        </w:tc>
        <w:tc>
          <w:tcPr>
            <w:tcW w:w="2268" w:type="dxa"/>
            <w:vAlign w:val="center"/>
          </w:tcPr>
          <w:p w:rsidR="00C330E2" w:rsidRPr="00C330E2" w:rsidRDefault="00C330E2" w:rsidP="00C330E2">
            <w:pPr>
              <w:cnfStyle w:val="000000000000" w:firstRow="0" w:lastRow="0" w:firstColumn="0" w:lastColumn="0" w:oddVBand="0" w:evenVBand="0" w:oddHBand="0" w:evenHBand="0" w:firstRowFirstColumn="0" w:firstRowLastColumn="0" w:lastRowFirstColumn="0" w:lastRowLastColumn="0"/>
              <w:rPr>
                <w:lang w:val="en-GB"/>
              </w:rPr>
            </w:pPr>
            <w:r w:rsidRPr="00C330E2">
              <w:rPr>
                <w:lang w:val="en-GB"/>
              </w:rPr>
              <w:t>Large Dutch industry</w:t>
            </w:r>
          </w:p>
        </w:tc>
        <w:tc>
          <w:tcPr>
            <w:tcW w:w="1276" w:type="dxa"/>
            <w:vAlign w:val="center"/>
          </w:tcPr>
          <w:p w:rsidR="00C330E2" w:rsidRPr="00C330E2" w:rsidRDefault="00C330E2" w:rsidP="00C330E2">
            <w:pPr>
              <w:cnfStyle w:val="000000000000" w:firstRow="0" w:lastRow="0" w:firstColumn="0" w:lastColumn="0" w:oddVBand="0" w:evenVBand="0" w:oddHBand="0" w:evenHBand="0" w:firstRowFirstColumn="0" w:firstRowLastColumn="0" w:lastRowFirstColumn="0" w:lastRowLastColumn="0"/>
              <w:rPr>
                <w:lang w:val="en-GB"/>
              </w:rPr>
            </w:pPr>
            <w:r w:rsidRPr="00C330E2">
              <w:rPr>
                <w:lang w:val="en-GB"/>
              </w:rPr>
              <w:t>1</w:t>
            </w:r>
          </w:p>
        </w:tc>
        <w:tc>
          <w:tcPr>
            <w:tcW w:w="3260" w:type="dxa"/>
            <w:vAlign w:val="center"/>
          </w:tcPr>
          <w:p w:rsidR="00C330E2" w:rsidRPr="00C330E2" w:rsidRDefault="00C330E2" w:rsidP="00C330E2">
            <w:pPr>
              <w:cnfStyle w:val="000000000000" w:firstRow="0" w:lastRow="0" w:firstColumn="0" w:lastColumn="0" w:oddVBand="0" w:evenVBand="0" w:oddHBand="0" w:evenHBand="0" w:firstRowFirstColumn="0" w:firstRowLastColumn="0" w:lastRowFirstColumn="0" w:lastRowLastColumn="0"/>
              <w:rPr>
                <w:lang w:val="en-GB"/>
              </w:rPr>
            </w:pPr>
            <w:r w:rsidRPr="00C330E2">
              <w:rPr>
                <w:lang w:val="en-GB"/>
              </w:rPr>
              <w:t>Did not respond</w:t>
            </w:r>
          </w:p>
        </w:tc>
      </w:tr>
      <w:tr w:rsidR="00C330E2" w:rsidRPr="00C330E2" w:rsidTr="00C330E2">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rsidR="00C330E2" w:rsidRPr="00C330E2" w:rsidRDefault="00C330E2" w:rsidP="00C330E2">
            <w:pPr>
              <w:rPr>
                <w:lang w:val="en-GB"/>
              </w:rPr>
            </w:pPr>
          </w:p>
        </w:tc>
        <w:tc>
          <w:tcPr>
            <w:tcW w:w="2268"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SME</w:t>
            </w:r>
          </w:p>
        </w:tc>
        <w:tc>
          <w:tcPr>
            <w:tcW w:w="1276"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1</w:t>
            </w:r>
          </w:p>
        </w:tc>
        <w:tc>
          <w:tcPr>
            <w:tcW w:w="3260" w:type="dxa"/>
            <w:vAlign w:val="center"/>
          </w:tcPr>
          <w:p w:rsidR="00C330E2" w:rsidRPr="00C330E2" w:rsidRDefault="00C330E2" w:rsidP="00C330E2">
            <w:pPr>
              <w:cnfStyle w:val="000000100000" w:firstRow="0" w:lastRow="0" w:firstColumn="0" w:lastColumn="0" w:oddVBand="0" w:evenVBand="0" w:oddHBand="1" w:evenHBand="0" w:firstRowFirstColumn="0" w:firstRowLastColumn="0" w:lastRowFirstColumn="0" w:lastRowLastColumn="0"/>
              <w:rPr>
                <w:lang w:val="en-GB"/>
              </w:rPr>
            </w:pPr>
            <w:r w:rsidRPr="00C330E2">
              <w:rPr>
                <w:lang w:val="en-GB"/>
              </w:rPr>
              <w:t>Contact is ongoing</w:t>
            </w:r>
          </w:p>
        </w:tc>
      </w:tr>
    </w:tbl>
    <w:p w:rsidR="00C330E2" w:rsidRDefault="00C330E2" w:rsidP="00E949DB">
      <w:pPr>
        <w:pStyle w:val="Kop1"/>
        <w:numPr>
          <w:ilvl w:val="0"/>
          <w:numId w:val="0"/>
        </w:numPr>
        <w:rPr>
          <w:lang w:val="en-GB"/>
        </w:rPr>
      </w:pPr>
      <w:bookmarkStart w:id="8" w:name="_Toc434328939"/>
    </w:p>
    <w:p w:rsidR="00493502" w:rsidRDefault="00493502">
      <w:pPr>
        <w:tabs>
          <w:tab w:val="clear" w:pos="170"/>
          <w:tab w:val="clear" w:pos="680"/>
        </w:tabs>
        <w:spacing w:line="240" w:lineRule="auto"/>
        <w:rPr>
          <w:b/>
          <w:sz w:val="50"/>
          <w:lang w:val="en-GB"/>
        </w:rPr>
      </w:pPr>
      <w:r>
        <w:rPr>
          <w:lang w:val="en-GB"/>
        </w:rPr>
        <w:br w:type="page"/>
      </w:r>
    </w:p>
    <w:p w:rsidR="00C330E2" w:rsidRPr="00C330E2" w:rsidRDefault="00C330E2" w:rsidP="00C330E2">
      <w:pPr>
        <w:pStyle w:val="Kop1"/>
        <w:rPr>
          <w:lang w:val="en-GB"/>
        </w:rPr>
      </w:pPr>
      <w:bookmarkStart w:id="9" w:name="_Toc447108887"/>
      <w:r w:rsidRPr="00C330E2">
        <w:rPr>
          <w:lang w:val="en-GB"/>
        </w:rPr>
        <w:t>Summary of visits</w:t>
      </w:r>
      <w:bookmarkEnd w:id="8"/>
      <w:bookmarkEnd w:id="9"/>
    </w:p>
    <w:p w:rsidR="00C330E2" w:rsidRPr="00C330E2" w:rsidRDefault="00C330E2" w:rsidP="00C330E2">
      <w:pPr>
        <w:jc w:val="both"/>
        <w:rPr>
          <w:lang w:val="en-GB"/>
        </w:rPr>
      </w:pPr>
      <w:r w:rsidRPr="00C330E2">
        <w:rPr>
          <w:lang w:val="en-GB"/>
        </w:rPr>
        <w:t xml:space="preserve">The notes from the various interviews are here. In general, the feedback from the visits with the catalyst community and industry was mixed. </w:t>
      </w:r>
    </w:p>
    <w:p w:rsidR="00C330E2" w:rsidRPr="00C330E2" w:rsidRDefault="00C330E2" w:rsidP="00C330E2">
      <w:pPr>
        <w:jc w:val="both"/>
        <w:rPr>
          <w:lang w:val="en-GB"/>
        </w:rPr>
      </w:pPr>
      <w:r w:rsidRPr="00C330E2">
        <w:rPr>
          <w:noProof/>
          <w:lang w:val="nl-NL" w:eastAsia="nl-NL"/>
        </w:rPr>
        <mc:AlternateContent>
          <mc:Choice Requires="wps">
            <w:drawing>
              <wp:anchor distT="0" distB="0" distL="114300" distR="114300" simplePos="0" relativeHeight="251659264" behindDoc="1" locked="0" layoutInCell="1" allowOverlap="1" wp14:anchorId="6A03427A" wp14:editId="1A1A23E1">
                <wp:simplePos x="0" y="0"/>
                <wp:positionH relativeFrom="column">
                  <wp:posOffset>-57748</wp:posOffset>
                </wp:positionH>
                <wp:positionV relativeFrom="paragraph">
                  <wp:posOffset>132117</wp:posOffset>
                </wp:positionV>
                <wp:extent cx="5904753" cy="753036"/>
                <wp:effectExtent l="0" t="0" r="20320" b="28575"/>
                <wp:wrapNone/>
                <wp:docPr id="1" name="Rectangle 1"/>
                <wp:cNvGraphicFramePr/>
                <a:graphic xmlns:a="http://schemas.openxmlformats.org/drawingml/2006/main">
                  <a:graphicData uri="http://schemas.microsoft.com/office/word/2010/wordprocessingShape">
                    <wps:wsp>
                      <wps:cNvSpPr/>
                      <wps:spPr>
                        <a:xfrm>
                          <a:off x="0" y="0"/>
                          <a:ext cx="5904753" cy="753036"/>
                        </a:xfrm>
                        <a:prstGeom prst="rect">
                          <a:avLst/>
                        </a:prstGeom>
                        <a:gradFill>
                          <a:gsLst>
                            <a:gs pos="0">
                              <a:schemeClr val="accent1">
                                <a:lumMod val="20000"/>
                                <a:lumOff val="80000"/>
                                <a:alpha val="50000"/>
                              </a:schemeClr>
                            </a:gs>
                            <a:gs pos="50000">
                              <a:schemeClr val="accent1">
                                <a:lumMod val="40000"/>
                                <a:lumOff val="60000"/>
                                <a:alpha val="50000"/>
                              </a:schemeClr>
                            </a:gs>
                            <a:gs pos="100000">
                              <a:schemeClr val="accent1">
                                <a:lumMod val="60000"/>
                                <a:lumOff val="40000"/>
                                <a:alpha val="50000"/>
                              </a:schemeClr>
                            </a:gs>
                          </a:gsLst>
                        </a:gradFill>
                      </wps:spPr>
                      <wps:style>
                        <a:lnRef idx="1">
                          <a:schemeClr val="accent1"/>
                        </a:lnRef>
                        <a:fillRef idx="2">
                          <a:schemeClr val="accent1"/>
                        </a:fillRef>
                        <a:effectRef idx="1">
                          <a:schemeClr val="accent1"/>
                        </a:effectRef>
                        <a:fontRef idx="minor">
                          <a:schemeClr val="dk1"/>
                        </a:fontRef>
                      </wps:style>
                      <wps:txbx>
                        <w:txbxContent>
                          <w:p w:rsidR="00D15354" w:rsidRPr="00463C63" w:rsidRDefault="00D15354" w:rsidP="00C330E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3427A" id="Rectangle 1" o:spid="_x0000_s1026" style="position:absolute;left:0;text-align:left;margin-left:-4.55pt;margin-top:10.4pt;width:464.95pt;height:5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" fillcolor="#deeaf6 [660]" strokecolor="#5b9bd5 [3204]" strokeweight=".5pt">
                <v:fill opacity=".5" color2="#9cc2e5 [1940]" o:opacity2=".5" rotate="t" colors="0 #deebf7;.5 #bdd7ee;1 #9dc3e6" focus="100%" type="gradient">
                  <o:fill v:ext="view" type="gradientUnscaled"/>
                </v:fill>
                <v:textbox>
                  <w:txbxContent>
                    <w:p w:rsidR="00D15354" w:rsidRPr="00463C63" w:rsidRDefault="00D15354" w:rsidP="00C330E2">
                      <w:pPr>
                        <w:jc w:val="center"/>
                        <w:rPr>
                          <w:lang w:val="en-US"/>
                        </w:rPr>
                      </w:pPr>
                    </w:p>
                  </w:txbxContent>
                </v:textbox>
              </v:rect>
            </w:pict>
          </mc:Fallback>
        </mc:AlternateContent>
      </w:r>
    </w:p>
    <w:p w:rsidR="00C330E2" w:rsidRPr="00C330E2" w:rsidRDefault="00C330E2" w:rsidP="00C330E2">
      <w:pPr>
        <w:jc w:val="both"/>
        <w:rPr>
          <w:lang w:val="en-GB"/>
        </w:rPr>
      </w:pPr>
      <w:r w:rsidRPr="00C330E2">
        <w:rPr>
          <w:lang w:val="en-GB"/>
        </w:rPr>
        <w:t>The feeling is that there is no obvious need for such a system in general, but there are specific cases where it could be very useful. In those cases, a considerable investment will probably be needed to adapt the installation. The uses of the installation for training and for equipment testing are interesting and should be pursued further.</w:t>
      </w:r>
    </w:p>
    <w:p w:rsidR="00C330E2" w:rsidRPr="00C330E2" w:rsidRDefault="00C330E2" w:rsidP="00C330E2">
      <w:pPr>
        <w:jc w:val="both"/>
        <w:rPr>
          <w:lang w:val="en-GB"/>
        </w:rPr>
      </w:pPr>
    </w:p>
    <w:p w:rsidR="00C330E2" w:rsidRPr="00C330E2" w:rsidRDefault="00C330E2" w:rsidP="00C330E2">
      <w:pPr>
        <w:jc w:val="both"/>
        <w:rPr>
          <w:lang w:val="en-GB"/>
        </w:rPr>
      </w:pPr>
      <w:r w:rsidRPr="00C330E2">
        <w:rPr>
          <w:lang w:val="en-GB"/>
        </w:rPr>
        <w:t>Based on the feedback from the interviews, it was felt in general that the installation could be interesting in the following scenarios:</w:t>
      </w:r>
    </w:p>
    <w:p w:rsidR="00C330E2" w:rsidRPr="00C330E2" w:rsidRDefault="00C330E2" w:rsidP="00C330E2">
      <w:pPr>
        <w:jc w:val="both"/>
        <w:rPr>
          <w:lang w:val="en-GB"/>
        </w:rPr>
      </w:pPr>
    </w:p>
    <w:p w:rsidR="00C330E2" w:rsidRPr="00C330E2" w:rsidRDefault="00C330E2" w:rsidP="00C330E2">
      <w:pPr>
        <w:pStyle w:val="Lijstalinea"/>
        <w:numPr>
          <w:ilvl w:val="0"/>
          <w:numId w:val="40"/>
        </w:numPr>
        <w:ind w:left="530"/>
        <w:jc w:val="both"/>
        <w:rPr>
          <w:lang w:val="en-GB"/>
        </w:rPr>
      </w:pPr>
      <w:r w:rsidRPr="00C330E2">
        <w:rPr>
          <w:b/>
          <w:lang w:val="en-GB"/>
        </w:rPr>
        <w:t xml:space="preserve">Smaller companies who cannot afford to build such a large pilot plant themselves </w:t>
      </w:r>
      <w:r w:rsidRPr="00C330E2">
        <w:rPr>
          <w:lang w:val="en-GB"/>
        </w:rPr>
        <w:t>could make use of the HetD installation for costs lower than those for building a pilot plant from scratch. This could be especially interesting with SME’s developing novel processes or products and looking to scale up their operations or develop their processes further. However, the process conditions (temperature, pressure, pH, etc.) must fit with the construction materials of the equipment or a substantial investment will be required, possibly requiring a subsidized project.</w:t>
      </w:r>
    </w:p>
    <w:p w:rsidR="00C330E2" w:rsidRDefault="00C330E2" w:rsidP="00C330E2">
      <w:pPr>
        <w:pStyle w:val="Lijstalinea"/>
        <w:numPr>
          <w:ilvl w:val="0"/>
          <w:numId w:val="40"/>
        </w:numPr>
        <w:ind w:left="530"/>
        <w:jc w:val="both"/>
        <w:rPr>
          <w:lang w:val="en-GB"/>
        </w:rPr>
      </w:pPr>
      <w:r w:rsidRPr="00C330E2">
        <w:rPr>
          <w:lang w:val="en-GB"/>
        </w:rPr>
        <w:t xml:space="preserve">The </w:t>
      </w:r>
      <w:r w:rsidRPr="00C330E2">
        <w:rPr>
          <w:b/>
          <w:lang w:val="en-GB"/>
        </w:rPr>
        <w:t>production of new products for market introduction</w:t>
      </w:r>
      <w:r w:rsidRPr="00C330E2">
        <w:rPr>
          <w:lang w:val="en-GB"/>
        </w:rPr>
        <w:t>, on the order of 100 L or more of product, fits well with the size of the installation. If it could be adapted quickly and cost-effectively enough, this could be something that the major chemicals companies could be interested in, but also smaller companies. The time frame to start a project should be within 6 months or less.</w:t>
      </w:r>
    </w:p>
    <w:p w:rsidR="00C330E2" w:rsidRPr="00C330E2" w:rsidRDefault="00C330E2" w:rsidP="00C330E2">
      <w:pPr>
        <w:pStyle w:val="Lijstalinea"/>
        <w:ind w:left="530"/>
        <w:jc w:val="both"/>
        <w:rPr>
          <w:lang w:val="en-GB"/>
        </w:rPr>
      </w:pPr>
    </w:p>
    <w:p w:rsidR="00C330E2" w:rsidRDefault="00C330E2" w:rsidP="00C330E2">
      <w:pPr>
        <w:pStyle w:val="Lijstalinea"/>
        <w:numPr>
          <w:ilvl w:val="0"/>
          <w:numId w:val="40"/>
        </w:numPr>
        <w:ind w:left="530"/>
        <w:jc w:val="both"/>
        <w:rPr>
          <w:lang w:val="en-GB"/>
        </w:rPr>
      </w:pPr>
      <w:r w:rsidRPr="00C330E2">
        <w:rPr>
          <w:lang w:val="en-GB"/>
        </w:rPr>
        <w:t xml:space="preserve">The </w:t>
      </w:r>
      <w:r w:rsidRPr="00C330E2">
        <w:rPr>
          <w:b/>
          <w:lang w:val="en-GB"/>
        </w:rPr>
        <w:t>development of hydrogenation reaction processes and other “green” chemistry and bio-based processes</w:t>
      </w:r>
      <w:r w:rsidRPr="00C330E2">
        <w:rPr>
          <w:lang w:val="en-GB"/>
        </w:rPr>
        <w:t xml:space="preserve"> could be a good market for use of the HetD installation. There is a lot of development going on in these areas, especially involving process design and scale-up, and the end products are usually of higher added value, making the business case more favourable. The size of the installation and the broad environmental permits are advantageous for these markets where such installations are lacking. It should be noted, however, that many bio-based processes are acidic, for which the HetD installation may not be suitable.</w:t>
      </w:r>
    </w:p>
    <w:p w:rsidR="00C330E2" w:rsidRPr="00C330E2" w:rsidRDefault="00C330E2" w:rsidP="00C330E2">
      <w:pPr>
        <w:pStyle w:val="Lijstalinea"/>
        <w:ind w:left="530"/>
        <w:jc w:val="both"/>
        <w:rPr>
          <w:lang w:val="en-GB"/>
        </w:rPr>
      </w:pPr>
    </w:p>
    <w:p w:rsidR="00C330E2" w:rsidRPr="00C330E2" w:rsidRDefault="00C330E2" w:rsidP="00C330E2">
      <w:pPr>
        <w:pStyle w:val="Lijstalinea"/>
        <w:numPr>
          <w:ilvl w:val="0"/>
          <w:numId w:val="40"/>
        </w:numPr>
        <w:ind w:left="530"/>
        <w:jc w:val="both"/>
        <w:rPr>
          <w:lang w:val="en-GB"/>
        </w:rPr>
      </w:pPr>
      <w:r w:rsidRPr="00C330E2">
        <w:rPr>
          <w:lang w:val="en-GB"/>
        </w:rPr>
        <w:t xml:space="preserve">Similar to the type of process that Huntsman used the installation for, the </w:t>
      </w:r>
      <w:r w:rsidRPr="00C330E2">
        <w:rPr>
          <w:b/>
          <w:lang w:val="en-GB"/>
        </w:rPr>
        <w:t>regeneration of expensive catalysts</w:t>
      </w:r>
      <w:r w:rsidRPr="00C330E2">
        <w:rPr>
          <w:lang w:val="en-GB"/>
        </w:rPr>
        <w:t xml:space="preserve"> was also identified during the interviews as a potential use of the installation. The cases might be limited as the cost of new catalyst would have to be more than the cost of adapting the installation, transporting the used catalyst to the installation location, running the regeneration process, and returning the catalyst to the company.</w:t>
      </w:r>
    </w:p>
    <w:p w:rsidR="00C330E2" w:rsidRPr="00C330E2" w:rsidRDefault="00C330E2" w:rsidP="00C330E2">
      <w:pPr>
        <w:jc w:val="both"/>
        <w:rPr>
          <w:lang w:val="en-GB"/>
        </w:rPr>
      </w:pPr>
    </w:p>
    <w:p w:rsidR="00C330E2" w:rsidRPr="00C330E2" w:rsidRDefault="00C330E2" w:rsidP="00C330E2">
      <w:pPr>
        <w:pStyle w:val="Lijstalinea"/>
        <w:numPr>
          <w:ilvl w:val="0"/>
          <w:numId w:val="40"/>
        </w:numPr>
        <w:ind w:left="530"/>
        <w:jc w:val="both"/>
        <w:rPr>
          <w:lang w:val="en-GB"/>
        </w:rPr>
      </w:pPr>
      <w:r w:rsidRPr="00C330E2">
        <w:rPr>
          <w:lang w:val="en-GB"/>
        </w:rPr>
        <w:t xml:space="preserve">Using the installation for </w:t>
      </w:r>
      <w:r w:rsidRPr="00C330E2">
        <w:rPr>
          <w:b/>
          <w:lang w:val="en-GB"/>
        </w:rPr>
        <w:t>equipment testing purposes</w:t>
      </w:r>
      <w:r w:rsidRPr="00C330E2">
        <w:rPr>
          <w:lang w:val="en-GB"/>
        </w:rPr>
        <w:t xml:space="preserve"> for process construction, automation, and testing would be a unique use for the installation. Equipment manufacturers could use the installation to test equipment that is being developed before it is launched in the market in order to prove its readiness to work well under the process conditions that will be faced in practice at customers’ premises. Properties such as reliability and robustness, among others, can be investigated without tests in actual production lines and disturbances in production. Groups to be potentially contacted to gain access to potential customers are the WIB (Process Automation Users’ Association) and the FHI (Federation of Technology Branches). Examples for such equipment that could be tested in the installation are sensors (T, P, etc.) and measurement devices (flow controllers, pressure meters, etc.).</w:t>
      </w:r>
    </w:p>
    <w:p w:rsidR="00C330E2" w:rsidRPr="00C330E2" w:rsidRDefault="00C330E2" w:rsidP="00C330E2">
      <w:pPr>
        <w:jc w:val="both"/>
        <w:rPr>
          <w:lang w:val="en-GB"/>
        </w:rPr>
      </w:pPr>
    </w:p>
    <w:p w:rsidR="00C330E2" w:rsidRPr="00C330E2" w:rsidRDefault="00C330E2" w:rsidP="00C330E2">
      <w:pPr>
        <w:pStyle w:val="Lijstalinea"/>
        <w:numPr>
          <w:ilvl w:val="0"/>
          <w:numId w:val="40"/>
        </w:numPr>
        <w:ind w:left="530"/>
        <w:jc w:val="both"/>
        <w:rPr>
          <w:lang w:val="en-GB"/>
        </w:rPr>
      </w:pPr>
      <w:r w:rsidRPr="00C330E2">
        <w:rPr>
          <w:lang w:val="en-GB"/>
        </w:rPr>
        <w:t xml:space="preserve">Students and those already employed in the process industry can be </w:t>
      </w:r>
      <w:r w:rsidRPr="00C330E2">
        <w:rPr>
          <w:b/>
          <w:lang w:val="en-GB"/>
        </w:rPr>
        <w:t>trained on the installation</w:t>
      </w:r>
      <w:r w:rsidRPr="00C330E2">
        <w:rPr>
          <w:lang w:val="en-GB"/>
        </w:rPr>
        <w:t xml:space="preserve"> to improve their skills in plant construction, operation, and decommissioning in an industrial environment without major implications, such as at a production facility. Having such a training facility could make the harbour area more attractive to the process and chemicals industries.</w:t>
      </w:r>
    </w:p>
    <w:p w:rsidR="00C330E2" w:rsidRPr="00C330E2" w:rsidRDefault="00C330E2" w:rsidP="00C330E2">
      <w:pPr>
        <w:jc w:val="both"/>
        <w:rPr>
          <w:lang w:val="en-GB"/>
        </w:rPr>
      </w:pPr>
    </w:p>
    <w:p w:rsidR="00C330E2" w:rsidRPr="00C330E2" w:rsidRDefault="00C330E2" w:rsidP="00C330E2">
      <w:pPr>
        <w:jc w:val="both"/>
        <w:rPr>
          <w:lang w:val="en-GB"/>
        </w:rPr>
      </w:pPr>
      <w:r w:rsidRPr="00C330E2">
        <w:rPr>
          <w:lang w:val="en-GB"/>
        </w:rPr>
        <w:t>On the other hand, four main points for why the use of the installation are limited were brought up repeatedly during discussions:</w:t>
      </w:r>
    </w:p>
    <w:p w:rsidR="00C330E2" w:rsidRPr="00C330E2" w:rsidRDefault="00C330E2" w:rsidP="00C330E2">
      <w:pPr>
        <w:jc w:val="both"/>
        <w:rPr>
          <w:lang w:val="en-GB"/>
        </w:rPr>
      </w:pPr>
    </w:p>
    <w:p w:rsidR="00C330E2" w:rsidRDefault="00C330E2" w:rsidP="00C330E2">
      <w:pPr>
        <w:pStyle w:val="Lijstalinea"/>
        <w:numPr>
          <w:ilvl w:val="0"/>
          <w:numId w:val="41"/>
        </w:numPr>
        <w:jc w:val="both"/>
        <w:rPr>
          <w:lang w:val="en-GB"/>
        </w:rPr>
      </w:pPr>
      <w:r w:rsidRPr="00C330E2">
        <w:rPr>
          <w:lang w:val="en-GB"/>
        </w:rPr>
        <w:t xml:space="preserve">It is </w:t>
      </w:r>
      <w:r w:rsidRPr="00C330E2">
        <w:rPr>
          <w:b/>
          <w:lang w:val="en-GB"/>
        </w:rPr>
        <w:t>not to be expected that large chemicals companies</w:t>
      </w:r>
      <w:r w:rsidRPr="00C330E2">
        <w:rPr>
          <w:lang w:val="en-GB"/>
        </w:rPr>
        <w:t xml:space="preserve">, during the development and implementation trajectory of their processes, </w:t>
      </w:r>
      <w:r w:rsidRPr="00C330E2">
        <w:rPr>
          <w:b/>
          <w:lang w:val="en-GB"/>
        </w:rPr>
        <w:t>will make use of an existing setup dedicated for another process</w:t>
      </w:r>
      <w:r w:rsidRPr="00C330E2">
        <w:rPr>
          <w:lang w:val="en-GB"/>
        </w:rPr>
        <w:t xml:space="preserve">. Large companies will construct dedicated piloting facilities themselves when needed, and sometimes even own a small company themselves who builds pilot plants at several scales, up to that of the HetD installation. In other cases, there are companies who specialize in building such pilot plants, such as MTSA and Zeton. </w:t>
      </w:r>
    </w:p>
    <w:p w:rsidR="00C330E2" w:rsidRPr="00C330E2" w:rsidRDefault="00C330E2" w:rsidP="00C330E2">
      <w:pPr>
        <w:pStyle w:val="Lijstalinea"/>
        <w:ind w:left="530"/>
        <w:jc w:val="both"/>
        <w:rPr>
          <w:lang w:val="en-GB"/>
        </w:rPr>
      </w:pPr>
    </w:p>
    <w:p w:rsidR="00C330E2" w:rsidRDefault="00C330E2" w:rsidP="00C330E2">
      <w:pPr>
        <w:pStyle w:val="Lijstalinea"/>
        <w:numPr>
          <w:ilvl w:val="0"/>
          <w:numId w:val="41"/>
        </w:numPr>
        <w:jc w:val="both"/>
        <w:rPr>
          <w:lang w:val="en-GB"/>
        </w:rPr>
      </w:pPr>
      <w:r w:rsidRPr="00C330E2">
        <w:rPr>
          <w:lang w:val="en-GB"/>
        </w:rPr>
        <w:t xml:space="preserve">The HetD set-up was constructed to deal with a neutral process. </w:t>
      </w:r>
      <w:r w:rsidRPr="00C330E2">
        <w:rPr>
          <w:b/>
          <w:lang w:val="en-GB"/>
        </w:rPr>
        <w:t>The majority of industrial chemical processes (perhaps as high as 80%) are acid-based, for which the HetD installation may not be suitable</w:t>
      </w:r>
      <w:r w:rsidRPr="00C330E2">
        <w:rPr>
          <w:lang w:val="en-GB"/>
        </w:rPr>
        <w:t>, depending on the strength of the acid and any reaction with stainless steel</w:t>
      </w:r>
      <w:r w:rsidRPr="00C330E2">
        <w:rPr>
          <w:b/>
          <w:lang w:val="en-GB"/>
        </w:rPr>
        <w:t>.</w:t>
      </w:r>
      <w:r w:rsidRPr="00C330E2">
        <w:rPr>
          <w:lang w:val="en-GB"/>
        </w:rPr>
        <w:t xml:space="preserve"> This is a major limitation and would take substantial effort and investment to change in the installation, but should be investigated further. For example, it was noted that the scale of the installation is needed and lacking in the biomass and bio-refinery industry; however, the first steps in biomass processing are almost always acidic.</w:t>
      </w:r>
    </w:p>
    <w:p w:rsidR="00C330E2" w:rsidRPr="00C330E2" w:rsidRDefault="00C330E2" w:rsidP="00C330E2">
      <w:pPr>
        <w:pStyle w:val="Lijstalinea"/>
        <w:rPr>
          <w:lang w:val="en-GB"/>
        </w:rPr>
      </w:pPr>
    </w:p>
    <w:p w:rsidR="00C330E2" w:rsidRDefault="00C330E2" w:rsidP="00C330E2">
      <w:pPr>
        <w:pStyle w:val="Lijstalinea"/>
        <w:numPr>
          <w:ilvl w:val="0"/>
          <w:numId w:val="41"/>
        </w:numPr>
        <w:jc w:val="both"/>
        <w:rPr>
          <w:lang w:val="en-GB"/>
        </w:rPr>
      </w:pPr>
      <w:r w:rsidRPr="00C330E2">
        <w:rPr>
          <w:b/>
          <w:lang w:val="en-GB"/>
        </w:rPr>
        <w:t>The step between laboratory scale and full commercial scale is not required in many cases.</w:t>
      </w:r>
      <w:r w:rsidRPr="00C330E2">
        <w:rPr>
          <w:lang w:val="en-GB"/>
        </w:rPr>
        <w:t xml:space="preserve"> Enough is known about catalytic process scale up that a process can go from a scale of 1 litre in the laboratory up to a 20 – 30 m</w:t>
      </w:r>
      <w:r w:rsidRPr="00C330E2">
        <w:rPr>
          <w:vertAlign w:val="superscript"/>
          <w:lang w:val="en-GB"/>
        </w:rPr>
        <w:t>3</w:t>
      </w:r>
      <w:r w:rsidRPr="00C330E2">
        <w:rPr>
          <w:lang w:val="en-GB"/>
        </w:rPr>
        <w:t xml:space="preserve"> commercial scale without difficulty. There are of course some cases, such as catalyst regeneration, which do require the middle scale of the HetD installation for intermediate testing and process verification. </w:t>
      </w:r>
    </w:p>
    <w:p w:rsidR="00C330E2" w:rsidRPr="00C330E2" w:rsidRDefault="00C330E2" w:rsidP="00C330E2">
      <w:pPr>
        <w:pStyle w:val="Lijstalinea"/>
        <w:ind w:left="530"/>
        <w:jc w:val="both"/>
        <w:rPr>
          <w:lang w:val="en-GB"/>
        </w:rPr>
      </w:pPr>
    </w:p>
    <w:p w:rsidR="00C330E2" w:rsidRDefault="00C330E2" w:rsidP="00C330E2">
      <w:pPr>
        <w:pStyle w:val="Lijstalinea"/>
        <w:numPr>
          <w:ilvl w:val="0"/>
          <w:numId w:val="41"/>
        </w:numPr>
        <w:jc w:val="both"/>
        <w:rPr>
          <w:lang w:val="en-GB"/>
        </w:rPr>
      </w:pPr>
      <w:r w:rsidRPr="00C330E2">
        <w:rPr>
          <w:lang w:val="en-GB"/>
        </w:rPr>
        <w:t xml:space="preserve">The </w:t>
      </w:r>
      <w:r w:rsidRPr="00C330E2">
        <w:rPr>
          <w:b/>
          <w:lang w:val="en-GB"/>
        </w:rPr>
        <w:t>2 litre CSTR, used in the installation for pre-mixing, is much too small</w:t>
      </w:r>
      <w:r w:rsidRPr="00C330E2">
        <w:rPr>
          <w:lang w:val="en-GB"/>
        </w:rPr>
        <w:t xml:space="preserve"> for the processes currently being developed in the chemicals industry. A size of the CSTR of 20 – 100 litres and where catalyst could already be added with the reagents would make the installation much more useful.</w:t>
      </w:r>
    </w:p>
    <w:p w:rsidR="00C330E2" w:rsidRPr="00C330E2" w:rsidRDefault="00C330E2" w:rsidP="00C330E2">
      <w:pPr>
        <w:jc w:val="both"/>
        <w:rPr>
          <w:lang w:val="en-GB"/>
        </w:rPr>
      </w:pPr>
    </w:p>
    <w:p w:rsidR="00C330E2" w:rsidRDefault="00C330E2" w:rsidP="00C330E2">
      <w:pPr>
        <w:jc w:val="both"/>
        <w:rPr>
          <w:lang w:val="en-GB"/>
        </w:rPr>
      </w:pPr>
      <w:r w:rsidRPr="00C330E2">
        <w:rPr>
          <w:lang w:val="en-GB"/>
        </w:rPr>
        <w:t>The scenarios where it is thought that the further use of the HetD installation is advantageous are expected to be rather limited, such that steady use of the installation may require continuous active business development. A training program with a steady influx of students or regular equipment testing campaigns would help in this matter. There are two promising leads at the time of writing this report and if projects can be realized with these companies, then there will be a better understanding of the costs associated with adapting the installation for new applications and its further potential. A rough estimation of the costs and business case is given in the following section, based on data provided by Plant One Rotterdam, but applicable to other cases. It should be noted that assisting smaller companies in up-scaling and further process development would have benefits for Plant One Rotterdam, but would also have a positive impact on the competitiveness of Dutch industry as a whole.</w:t>
      </w:r>
    </w:p>
    <w:p w:rsidR="00E949DB" w:rsidRDefault="00E949DB" w:rsidP="00C330E2">
      <w:pPr>
        <w:jc w:val="both"/>
        <w:rPr>
          <w:lang w:val="en-GB"/>
        </w:rPr>
      </w:pPr>
    </w:p>
    <w:p w:rsidR="00C330E2" w:rsidRDefault="00C330E2" w:rsidP="00C330E2">
      <w:pPr>
        <w:jc w:val="both"/>
        <w:rPr>
          <w:lang w:val="en-GB"/>
        </w:rPr>
      </w:pPr>
    </w:p>
    <w:p w:rsidR="00C330E2" w:rsidRDefault="00C330E2" w:rsidP="00C330E2">
      <w:pPr>
        <w:jc w:val="both"/>
        <w:rPr>
          <w:lang w:val="en-GB"/>
        </w:rPr>
      </w:pPr>
    </w:p>
    <w:p w:rsidR="00493502" w:rsidRDefault="00493502">
      <w:pPr>
        <w:tabs>
          <w:tab w:val="clear" w:pos="170"/>
          <w:tab w:val="clear" w:pos="680"/>
        </w:tabs>
        <w:spacing w:line="240" w:lineRule="auto"/>
        <w:rPr>
          <w:b/>
          <w:sz w:val="50"/>
          <w:lang w:val="en-GB"/>
        </w:rPr>
      </w:pPr>
      <w:bookmarkStart w:id="10" w:name="_Toc434328940"/>
      <w:r>
        <w:rPr>
          <w:lang w:val="en-GB"/>
        </w:rPr>
        <w:br w:type="page"/>
      </w:r>
    </w:p>
    <w:p w:rsidR="00C330E2" w:rsidRPr="00C330E2" w:rsidRDefault="00C330E2" w:rsidP="00C330E2">
      <w:pPr>
        <w:pStyle w:val="Kop1"/>
        <w:rPr>
          <w:lang w:val="en-GB"/>
        </w:rPr>
      </w:pPr>
      <w:bookmarkStart w:id="11" w:name="_Toc447108888"/>
      <w:r w:rsidRPr="00C330E2">
        <w:rPr>
          <w:lang w:val="en-GB"/>
        </w:rPr>
        <w:t>Business case calculation</w:t>
      </w:r>
      <w:bookmarkEnd w:id="10"/>
      <w:bookmarkEnd w:id="11"/>
    </w:p>
    <w:p w:rsidR="00C330E2" w:rsidRPr="00C330E2" w:rsidRDefault="00C330E2" w:rsidP="00C330E2">
      <w:pPr>
        <w:jc w:val="both"/>
        <w:rPr>
          <w:lang w:val="en-GB"/>
        </w:rPr>
      </w:pPr>
      <w:r w:rsidRPr="00C330E2">
        <w:rPr>
          <w:lang w:val="en-GB"/>
        </w:rPr>
        <w:t xml:space="preserve">In order to assess the feasibility of future business cases from the perspective of potential clients or partners, the following calculations have been made based on </w:t>
      </w:r>
      <w:r w:rsidR="00866203">
        <w:rPr>
          <w:lang w:val="en-GB"/>
        </w:rPr>
        <w:t>rough estimations of personnel and site costs</w:t>
      </w:r>
      <w:r w:rsidRPr="00C330E2">
        <w:rPr>
          <w:lang w:val="en-GB"/>
        </w:rPr>
        <w:t>. These will also help in providing information to assess the business model around managing the installation.</w:t>
      </w:r>
    </w:p>
    <w:p w:rsidR="00C330E2" w:rsidRPr="00C330E2" w:rsidRDefault="00C330E2" w:rsidP="00C330E2">
      <w:pPr>
        <w:jc w:val="both"/>
        <w:rPr>
          <w:lang w:val="en-GB"/>
        </w:rPr>
      </w:pPr>
    </w:p>
    <w:p w:rsidR="00C330E2" w:rsidRPr="00C330E2" w:rsidRDefault="00C330E2" w:rsidP="00C330E2">
      <w:pPr>
        <w:jc w:val="both"/>
        <w:rPr>
          <w:lang w:val="en-GB"/>
        </w:rPr>
      </w:pPr>
      <w:r w:rsidRPr="00C330E2">
        <w:rPr>
          <w:lang w:val="en-GB"/>
        </w:rPr>
        <w:t xml:space="preserve">The cost assessment given in this section is based on the use of the existing installation and gives an idea of what a third party can expect should they want to use it. It is noted that these costs should be weighed against the possible savings which may be generated by using the existing HetD installation instead of the construction and realization of a new dedicated system for the third party. While it is not possible to give an accurate estimation of such costs, as these will be highly application specific, totals in the range of €500,000, at a minimum, and easily up to €3 million can be expected. </w:t>
      </w:r>
    </w:p>
    <w:p w:rsidR="00C330E2" w:rsidRPr="00C330E2" w:rsidRDefault="00C330E2" w:rsidP="00C330E2">
      <w:pPr>
        <w:jc w:val="both"/>
        <w:rPr>
          <w:lang w:val="en-GB"/>
        </w:rPr>
      </w:pPr>
    </w:p>
    <w:p w:rsidR="00C330E2" w:rsidRPr="00C330E2" w:rsidRDefault="00C330E2" w:rsidP="00C330E2">
      <w:pPr>
        <w:jc w:val="both"/>
        <w:rPr>
          <w:lang w:val="en-GB"/>
        </w:rPr>
      </w:pPr>
      <w:r w:rsidRPr="00C330E2">
        <w:rPr>
          <w:b/>
          <w:lang w:val="en-GB"/>
        </w:rPr>
        <w:t>Investment costs</w:t>
      </w:r>
    </w:p>
    <w:p w:rsidR="00C330E2" w:rsidRDefault="00C330E2" w:rsidP="00C330E2">
      <w:pPr>
        <w:jc w:val="both"/>
        <w:rPr>
          <w:lang w:val="en-GB"/>
        </w:rPr>
      </w:pPr>
      <w:r w:rsidRPr="00C330E2">
        <w:rPr>
          <w:lang w:val="en-GB"/>
        </w:rPr>
        <w:t xml:space="preserve">The investment costs needed to adapt the installation to a new application will vary significantly between the various applications. </w:t>
      </w:r>
      <w:r w:rsidRPr="00C330E2">
        <w:rPr>
          <w:lang w:val="en-GB"/>
        </w:rPr>
        <w:fldChar w:fldCharType="begin"/>
      </w:r>
      <w:r w:rsidRPr="00C330E2">
        <w:rPr>
          <w:lang w:val="en-GB"/>
        </w:rPr>
        <w:instrText xml:space="preserve"> REF _Ref434329555 \h </w:instrText>
      </w:r>
      <w:r w:rsidRPr="00C330E2">
        <w:rPr>
          <w:lang w:val="en-GB"/>
        </w:rPr>
      </w:r>
      <w:r w:rsidRPr="00C330E2">
        <w:rPr>
          <w:lang w:val="en-GB"/>
        </w:rPr>
        <w:fldChar w:fldCharType="separate"/>
      </w:r>
      <w:r w:rsidRPr="00C330E2">
        <w:rPr>
          <w:lang w:val="en-GB"/>
        </w:rPr>
        <w:t>Table 2</w:t>
      </w:r>
      <w:r w:rsidRPr="00C330E2">
        <w:rPr>
          <w:lang w:val="en-GB"/>
        </w:rPr>
        <w:fldChar w:fldCharType="end"/>
      </w:r>
      <w:r w:rsidRPr="00C330E2">
        <w:rPr>
          <w:lang w:val="en-GB"/>
        </w:rPr>
        <w:t xml:space="preserve"> gives an example which is based on the feedback of the most limiting factors from the various interviews.</w:t>
      </w:r>
    </w:p>
    <w:p w:rsidR="00354444" w:rsidRPr="00C330E2" w:rsidRDefault="00354444" w:rsidP="00C330E2">
      <w:pPr>
        <w:jc w:val="both"/>
        <w:rPr>
          <w:lang w:val="en-GB"/>
        </w:rPr>
      </w:pPr>
    </w:p>
    <w:p w:rsidR="00C330E2" w:rsidRPr="00354444" w:rsidRDefault="00C330E2" w:rsidP="00C330E2">
      <w:pPr>
        <w:jc w:val="both"/>
        <w:rPr>
          <w:b/>
          <w:sz w:val="16"/>
          <w:lang w:val="en-GB"/>
        </w:rPr>
      </w:pPr>
      <w:bookmarkStart w:id="12" w:name="_Ref434329555"/>
      <w:r w:rsidRPr="00354444">
        <w:rPr>
          <w:b/>
          <w:sz w:val="16"/>
          <w:lang w:val="en-GB"/>
        </w:rPr>
        <w:t xml:space="preserve">Table </w:t>
      </w:r>
      <w:r w:rsidRPr="00354444">
        <w:rPr>
          <w:b/>
          <w:sz w:val="16"/>
          <w:lang w:val="en-GB"/>
        </w:rPr>
        <w:fldChar w:fldCharType="begin"/>
      </w:r>
      <w:r w:rsidRPr="00354444">
        <w:rPr>
          <w:b/>
          <w:sz w:val="16"/>
          <w:lang w:val="en-GB"/>
        </w:rPr>
        <w:instrText xml:space="preserve"> SEQ Table \* ARABIC </w:instrText>
      </w:r>
      <w:r w:rsidRPr="00354444">
        <w:rPr>
          <w:b/>
          <w:sz w:val="16"/>
          <w:lang w:val="en-GB"/>
        </w:rPr>
        <w:fldChar w:fldCharType="separate"/>
      </w:r>
      <w:r w:rsidRPr="00354444">
        <w:rPr>
          <w:b/>
          <w:sz w:val="16"/>
          <w:lang w:val="en-GB"/>
        </w:rPr>
        <w:t>2</w:t>
      </w:r>
      <w:r w:rsidRPr="00354444">
        <w:rPr>
          <w:b/>
          <w:sz w:val="16"/>
          <w:lang w:val="en-GB"/>
        </w:rPr>
        <w:fldChar w:fldCharType="end"/>
      </w:r>
      <w:bookmarkEnd w:id="12"/>
      <w:r w:rsidRPr="00354444">
        <w:rPr>
          <w:b/>
          <w:sz w:val="16"/>
          <w:lang w:val="en-GB"/>
        </w:rPr>
        <w:t xml:space="preserve"> Upfront investment costs expected to be needed to use the installation for a new project</w:t>
      </w:r>
    </w:p>
    <w:tbl>
      <w:tblPr>
        <w:tblStyle w:val="Kleurrijkraster-accent1"/>
        <w:tblW w:w="0" w:type="auto"/>
        <w:tblLook w:val="0460" w:firstRow="1" w:lastRow="1" w:firstColumn="0" w:lastColumn="0" w:noHBand="0" w:noVBand="1"/>
      </w:tblPr>
      <w:tblGrid>
        <w:gridCol w:w="2235"/>
        <w:gridCol w:w="5103"/>
        <w:gridCol w:w="1842"/>
      </w:tblGrid>
      <w:tr w:rsidR="00C330E2" w:rsidRPr="00C330E2" w:rsidTr="00354444">
        <w:trPr>
          <w:cnfStyle w:val="100000000000" w:firstRow="1" w:lastRow="0" w:firstColumn="0" w:lastColumn="0" w:oddVBand="0" w:evenVBand="0" w:oddHBand="0" w:evenHBand="0" w:firstRowFirstColumn="0" w:firstRowLastColumn="0" w:lastRowFirstColumn="0" w:lastRowLastColumn="0"/>
        </w:trPr>
        <w:tc>
          <w:tcPr>
            <w:tcW w:w="2235" w:type="dxa"/>
          </w:tcPr>
          <w:p w:rsidR="00C330E2" w:rsidRPr="00C330E2" w:rsidRDefault="00C330E2" w:rsidP="00354444">
            <w:pPr>
              <w:rPr>
                <w:lang w:val="en-GB"/>
              </w:rPr>
            </w:pPr>
            <w:r w:rsidRPr="00C330E2">
              <w:rPr>
                <w:lang w:val="en-GB"/>
              </w:rPr>
              <w:t xml:space="preserve">Equipment </w:t>
            </w:r>
          </w:p>
        </w:tc>
        <w:tc>
          <w:tcPr>
            <w:tcW w:w="5103" w:type="dxa"/>
          </w:tcPr>
          <w:p w:rsidR="00C330E2" w:rsidRPr="00C330E2" w:rsidRDefault="00C330E2" w:rsidP="00354444">
            <w:pPr>
              <w:rPr>
                <w:lang w:val="en-GB"/>
              </w:rPr>
            </w:pPr>
            <w:r w:rsidRPr="00C330E2">
              <w:rPr>
                <w:lang w:val="en-GB"/>
              </w:rPr>
              <w:t>Specifications</w:t>
            </w:r>
          </w:p>
        </w:tc>
        <w:tc>
          <w:tcPr>
            <w:tcW w:w="1842" w:type="dxa"/>
          </w:tcPr>
          <w:p w:rsidR="00C330E2" w:rsidRPr="00C330E2" w:rsidRDefault="00C330E2" w:rsidP="00354444">
            <w:pPr>
              <w:rPr>
                <w:lang w:val="en-GB"/>
              </w:rPr>
            </w:pPr>
            <w:r w:rsidRPr="00C330E2">
              <w:rPr>
                <w:lang w:val="en-GB"/>
              </w:rPr>
              <w:t>Cost (€)</w:t>
            </w:r>
          </w:p>
        </w:tc>
      </w:tr>
      <w:tr w:rsidR="00C330E2" w:rsidRPr="00C330E2" w:rsidTr="00354444">
        <w:trPr>
          <w:cnfStyle w:val="000000100000" w:firstRow="0" w:lastRow="0" w:firstColumn="0" w:lastColumn="0" w:oddVBand="0" w:evenVBand="0" w:oddHBand="1" w:evenHBand="0" w:firstRowFirstColumn="0" w:firstRowLastColumn="0" w:lastRowFirstColumn="0" w:lastRowLastColumn="0"/>
        </w:trPr>
        <w:tc>
          <w:tcPr>
            <w:tcW w:w="2235" w:type="dxa"/>
          </w:tcPr>
          <w:p w:rsidR="00C330E2" w:rsidRPr="00C330E2" w:rsidRDefault="00C330E2" w:rsidP="00354444">
            <w:pPr>
              <w:rPr>
                <w:lang w:val="en-GB"/>
              </w:rPr>
            </w:pPr>
            <w:r w:rsidRPr="00C330E2">
              <w:rPr>
                <w:lang w:val="en-GB"/>
              </w:rPr>
              <w:t>CSTR</w:t>
            </w:r>
          </w:p>
        </w:tc>
        <w:tc>
          <w:tcPr>
            <w:tcW w:w="5103" w:type="dxa"/>
          </w:tcPr>
          <w:p w:rsidR="00C330E2" w:rsidRPr="00C330E2" w:rsidRDefault="00C330E2" w:rsidP="00354444">
            <w:pPr>
              <w:rPr>
                <w:lang w:val="en-GB"/>
              </w:rPr>
            </w:pPr>
            <w:r w:rsidRPr="00C330E2">
              <w:rPr>
                <w:lang w:val="en-GB"/>
              </w:rPr>
              <w:t>20 – 100 L, SS316, 60bar</w:t>
            </w:r>
          </w:p>
        </w:tc>
        <w:tc>
          <w:tcPr>
            <w:tcW w:w="1842" w:type="dxa"/>
          </w:tcPr>
          <w:p w:rsidR="00C330E2" w:rsidRPr="00C330E2" w:rsidRDefault="00C330E2" w:rsidP="00354444">
            <w:pPr>
              <w:rPr>
                <w:lang w:val="en-GB"/>
              </w:rPr>
            </w:pPr>
            <w:r w:rsidRPr="00C330E2">
              <w:rPr>
                <w:lang w:val="en-GB"/>
              </w:rPr>
              <w:t>38,000 – 84,000</w:t>
            </w:r>
          </w:p>
        </w:tc>
      </w:tr>
      <w:tr w:rsidR="00C330E2" w:rsidRPr="00C330E2" w:rsidTr="00354444">
        <w:tc>
          <w:tcPr>
            <w:tcW w:w="2235" w:type="dxa"/>
            <w:tcBorders>
              <w:bottom w:val="single" w:sz="4" w:space="0" w:color="FFFFFF" w:themeColor="background1"/>
            </w:tcBorders>
          </w:tcPr>
          <w:p w:rsidR="00C330E2" w:rsidRPr="00C330E2" w:rsidRDefault="00C330E2" w:rsidP="00354444">
            <w:pPr>
              <w:rPr>
                <w:lang w:val="en-GB"/>
              </w:rPr>
            </w:pPr>
            <w:r w:rsidRPr="00C330E2">
              <w:rPr>
                <w:lang w:val="en-GB"/>
              </w:rPr>
              <w:t>Piping, seals, etc.*</w:t>
            </w:r>
          </w:p>
        </w:tc>
        <w:tc>
          <w:tcPr>
            <w:tcW w:w="5103" w:type="dxa"/>
            <w:tcBorders>
              <w:bottom w:val="single" w:sz="4" w:space="0" w:color="FFFFFF" w:themeColor="background1"/>
            </w:tcBorders>
          </w:tcPr>
          <w:p w:rsidR="00C330E2" w:rsidRPr="00C330E2" w:rsidRDefault="00C330E2" w:rsidP="00354444">
            <w:pPr>
              <w:rPr>
                <w:lang w:val="en-GB"/>
              </w:rPr>
            </w:pPr>
            <w:r w:rsidRPr="00C330E2">
              <w:rPr>
                <w:lang w:val="en-GB"/>
              </w:rPr>
              <w:t>Alloys, acid resistant materials</w:t>
            </w:r>
          </w:p>
        </w:tc>
        <w:tc>
          <w:tcPr>
            <w:tcW w:w="1842" w:type="dxa"/>
            <w:tcBorders>
              <w:bottom w:val="single" w:sz="4" w:space="0" w:color="FFFFFF" w:themeColor="background1"/>
            </w:tcBorders>
          </w:tcPr>
          <w:p w:rsidR="00C330E2" w:rsidRPr="00C330E2" w:rsidRDefault="00C330E2" w:rsidP="00354444">
            <w:pPr>
              <w:rPr>
                <w:lang w:val="en-GB"/>
              </w:rPr>
            </w:pPr>
            <w:r w:rsidRPr="00C330E2">
              <w:rPr>
                <w:lang w:val="en-GB"/>
              </w:rPr>
              <w:t>50,000</w:t>
            </w:r>
          </w:p>
        </w:tc>
      </w:tr>
      <w:tr w:rsidR="00C330E2" w:rsidRPr="00C330E2" w:rsidTr="00354444">
        <w:trPr>
          <w:cnfStyle w:val="000000100000" w:firstRow="0" w:lastRow="0" w:firstColumn="0" w:lastColumn="0" w:oddVBand="0" w:evenVBand="0" w:oddHBand="1" w:evenHBand="0" w:firstRowFirstColumn="0" w:firstRowLastColumn="0" w:lastRowFirstColumn="0" w:lastRowLastColumn="0"/>
        </w:trPr>
        <w:tc>
          <w:tcPr>
            <w:tcW w:w="2235" w:type="dxa"/>
            <w:tcBorders>
              <w:bottom w:val="single" w:sz="4" w:space="0" w:color="FFFFFF" w:themeColor="background1"/>
            </w:tcBorders>
          </w:tcPr>
          <w:p w:rsidR="00C330E2" w:rsidRPr="00C330E2" w:rsidRDefault="00C330E2" w:rsidP="00354444">
            <w:pPr>
              <w:rPr>
                <w:lang w:val="en-GB"/>
              </w:rPr>
            </w:pPr>
            <w:r w:rsidRPr="00C330E2">
              <w:rPr>
                <w:lang w:val="en-GB"/>
              </w:rPr>
              <w:t>Heat exchanger*</w:t>
            </w:r>
          </w:p>
        </w:tc>
        <w:tc>
          <w:tcPr>
            <w:tcW w:w="5103" w:type="dxa"/>
            <w:tcBorders>
              <w:bottom w:val="single" w:sz="4" w:space="0" w:color="FFFFFF" w:themeColor="background1"/>
            </w:tcBorders>
          </w:tcPr>
          <w:p w:rsidR="00C330E2" w:rsidRPr="00C330E2" w:rsidRDefault="00C330E2" w:rsidP="00354444">
            <w:pPr>
              <w:rPr>
                <w:lang w:val="en-GB"/>
              </w:rPr>
            </w:pPr>
            <w:r w:rsidRPr="00C330E2">
              <w:rPr>
                <w:lang w:val="en-GB"/>
              </w:rPr>
              <w:t>Shell tube, 4 m</w:t>
            </w:r>
            <w:r w:rsidRPr="00C330E2">
              <w:rPr>
                <w:vertAlign w:val="superscript"/>
                <w:lang w:val="en-GB"/>
              </w:rPr>
              <w:t>2</w:t>
            </w:r>
            <w:r w:rsidRPr="00C330E2">
              <w:rPr>
                <w:lang w:val="en-GB"/>
              </w:rPr>
              <w:t>, 30 bar, SS316</w:t>
            </w:r>
          </w:p>
        </w:tc>
        <w:tc>
          <w:tcPr>
            <w:tcW w:w="1842" w:type="dxa"/>
            <w:tcBorders>
              <w:bottom w:val="single" w:sz="4" w:space="0" w:color="FFFFFF" w:themeColor="background1"/>
            </w:tcBorders>
          </w:tcPr>
          <w:p w:rsidR="00C330E2" w:rsidRPr="00C330E2" w:rsidRDefault="00C330E2" w:rsidP="00354444">
            <w:pPr>
              <w:rPr>
                <w:lang w:val="en-GB"/>
              </w:rPr>
            </w:pPr>
            <w:r w:rsidRPr="00C330E2">
              <w:rPr>
                <w:lang w:val="en-GB"/>
              </w:rPr>
              <w:t>3600</w:t>
            </w:r>
          </w:p>
        </w:tc>
      </w:tr>
      <w:tr w:rsidR="00C330E2" w:rsidRPr="00C330E2" w:rsidTr="00354444">
        <w:tc>
          <w:tcPr>
            <w:tcW w:w="2235" w:type="dxa"/>
            <w:tcBorders>
              <w:top w:val="single" w:sz="4" w:space="0" w:color="FFFFFF" w:themeColor="background1"/>
              <w:bottom w:val="double" w:sz="4" w:space="0" w:color="auto"/>
            </w:tcBorders>
          </w:tcPr>
          <w:p w:rsidR="00C330E2" w:rsidRPr="00C330E2" w:rsidRDefault="00C330E2" w:rsidP="00354444">
            <w:pPr>
              <w:rPr>
                <w:lang w:val="en-GB"/>
              </w:rPr>
            </w:pPr>
            <w:r w:rsidRPr="00C330E2">
              <w:rPr>
                <w:lang w:val="en-GB"/>
              </w:rPr>
              <w:t>Software</w:t>
            </w:r>
          </w:p>
        </w:tc>
        <w:tc>
          <w:tcPr>
            <w:tcW w:w="5103" w:type="dxa"/>
            <w:tcBorders>
              <w:top w:val="single" w:sz="4" w:space="0" w:color="FFFFFF" w:themeColor="background1"/>
              <w:bottom w:val="double" w:sz="4" w:space="0" w:color="auto"/>
            </w:tcBorders>
          </w:tcPr>
          <w:p w:rsidR="00C330E2" w:rsidRPr="00C330E2" w:rsidRDefault="00C330E2" w:rsidP="00354444">
            <w:pPr>
              <w:rPr>
                <w:lang w:val="en-GB"/>
              </w:rPr>
            </w:pPr>
            <w:r w:rsidRPr="00C330E2">
              <w:rPr>
                <w:lang w:val="en-GB"/>
              </w:rPr>
              <w:t>85 €/hr for a DCS engineer, about 200 hours needed</w:t>
            </w:r>
          </w:p>
        </w:tc>
        <w:tc>
          <w:tcPr>
            <w:tcW w:w="1842" w:type="dxa"/>
            <w:tcBorders>
              <w:top w:val="single" w:sz="4" w:space="0" w:color="FFFFFF" w:themeColor="background1"/>
              <w:bottom w:val="double" w:sz="4" w:space="0" w:color="auto"/>
            </w:tcBorders>
          </w:tcPr>
          <w:p w:rsidR="00C330E2" w:rsidRPr="00C330E2" w:rsidRDefault="00C330E2" w:rsidP="00354444">
            <w:pPr>
              <w:rPr>
                <w:lang w:val="en-GB"/>
              </w:rPr>
            </w:pPr>
            <w:r w:rsidRPr="00C330E2">
              <w:rPr>
                <w:lang w:val="en-GB"/>
              </w:rPr>
              <w:t>17,000</w:t>
            </w:r>
          </w:p>
        </w:tc>
      </w:tr>
      <w:tr w:rsidR="00C330E2" w:rsidRPr="00C330E2" w:rsidTr="00354444">
        <w:trPr>
          <w:cnfStyle w:val="010000000000" w:firstRow="0" w:lastRow="1" w:firstColumn="0" w:lastColumn="0" w:oddVBand="0" w:evenVBand="0" w:oddHBand="0" w:evenHBand="0" w:firstRowFirstColumn="0" w:firstRowLastColumn="0" w:lastRowFirstColumn="0" w:lastRowLastColumn="0"/>
        </w:trPr>
        <w:tc>
          <w:tcPr>
            <w:tcW w:w="7338" w:type="dxa"/>
            <w:gridSpan w:val="2"/>
            <w:tcBorders>
              <w:top w:val="double" w:sz="4" w:space="0" w:color="auto"/>
            </w:tcBorders>
          </w:tcPr>
          <w:p w:rsidR="00C330E2" w:rsidRPr="00C330E2" w:rsidRDefault="00C330E2" w:rsidP="00354444">
            <w:pPr>
              <w:rPr>
                <w:lang w:val="en-GB"/>
              </w:rPr>
            </w:pPr>
            <w:r w:rsidRPr="00C330E2">
              <w:rPr>
                <w:lang w:val="en-GB"/>
              </w:rPr>
              <w:t>Total upfront investment costs**</w:t>
            </w:r>
          </w:p>
        </w:tc>
        <w:tc>
          <w:tcPr>
            <w:tcW w:w="1842" w:type="dxa"/>
            <w:tcBorders>
              <w:top w:val="double" w:sz="4" w:space="0" w:color="auto"/>
            </w:tcBorders>
          </w:tcPr>
          <w:p w:rsidR="00C330E2" w:rsidRPr="00C330E2" w:rsidRDefault="00C330E2" w:rsidP="00354444">
            <w:pPr>
              <w:rPr>
                <w:lang w:val="en-GB"/>
              </w:rPr>
            </w:pPr>
            <w:r w:rsidRPr="00C330E2">
              <w:rPr>
                <w:lang w:val="en-GB"/>
              </w:rPr>
              <w:t>100 – 160 k€</w:t>
            </w:r>
          </w:p>
        </w:tc>
      </w:tr>
    </w:tbl>
    <w:p w:rsidR="00C330E2" w:rsidRPr="00C330E2" w:rsidRDefault="00C330E2" w:rsidP="00C330E2">
      <w:pPr>
        <w:jc w:val="both"/>
        <w:rPr>
          <w:lang w:val="en-GB"/>
        </w:rPr>
      </w:pPr>
      <w:r w:rsidRPr="00C330E2">
        <w:rPr>
          <w:lang w:val="en-GB"/>
        </w:rPr>
        <w:t>*More specifications are needed to make a more accurate cost calculation.</w:t>
      </w:r>
    </w:p>
    <w:p w:rsidR="00C330E2" w:rsidRPr="00C330E2" w:rsidRDefault="00C330E2" w:rsidP="00C330E2">
      <w:pPr>
        <w:jc w:val="both"/>
        <w:rPr>
          <w:lang w:val="en-GB"/>
        </w:rPr>
      </w:pPr>
      <w:r w:rsidRPr="00C330E2">
        <w:rPr>
          <w:lang w:val="en-GB"/>
        </w:rPr>
        <w:t>**Rough estimation; more detailed analysis needed based on a specific application.</w:t>
      </w:r>
    </w:p>
    <w:p w:rsidR="00C330E2" w:rsidRPr="00C330E2" w:rsidRDefault="00C330E2" w:rsidP="00C330E2">
      <w:pPr>
        <w:jc w:val="both"/>
        <w:rPr>
          <w:lang w:val="en-GB"/>
        </w:rPr>
      </w:pPr>
      <w:r w:rsidRPr="00C330E2">
        <w:rPr>
          <w:lang w:val="en-GB"/>
        </w:rPr>
        <w:t xml:space="preserve"> </w:t>
      </w:r>
    </w:p>
    <w:p w:rsidR="00C330E2" w:rsidRPr="00C330E2" w:rsidRDefault="00C330E2" w:rsidP="00C330E2">
      <w:pPr>
        <w:jc w:val="both"/>
        <w:rPr>
          <w:lang w:val="en-GB"/>
        </w:rPr>
      </w:pPr>
      <w:r w:rsidRPr="00C330E2">
        <w:rPr>
          <w:lang w:val="en-GB"/>
        </w:rPr>
        <w:t>Other investment costs for specific reactors, extra controllers (flows, pressure, etc.), and any add on equipment (separators, mixers, etc.) will be specific to each application and are impossible to generalize. The 100 – 160 k€ estimation is an example that is based on what would make the HetD installation much more generally applicable for the market. The investment could be paid for by a client, investors or within one or more subsidized projects, where with each project the functionality of the installation should be expanded and made more generally applicable in the market.</w:t>
      </w:r>
    </w:p>
    <w:p w:rsidR="00C330E2" w:rsidRPr="00C330E2" w:rsidRDefault="00C330E2" w:rsidP="00C330E2">
      <w:pPr>
        <w:jc w:val="both"/>
        <w:rPr>
          <w:lang w:val="en-GB"/>
        </w:rPr>
      </w:pPr>
    </w:p>
    <w:p w:rsidR="00C330E2" w:rsidRPr="00C330E2" w:rsidRDefault="00C330E2" w:rsidP="00C330E2">
      <w:pPr>
        <w:jc w:val="both"/>
        <w:rPr>
          <w:b/>
          <w:lang w:val="en-GB"/>
        </w:rPr>
      </w:pPr>
      <w:r w:rsidRPr="00C330E2">
        <w:rPr>
          <w:b/>
          <w:lang w:val="en-GB"/>
        </w:rPr>
        <w:t>Operating costs</w:t>
      </w:r>
    </w:p>
    <w:p w:rsidR="00866203" w:rsidRDefault="00C330E2" w:rsidP="00C330E2">
      <w:pPr>
        <w:jc w:val="both"/>
        <w:rPr>
          <w:lang w:val="en-GB"/>
        </w:rPr>
      </w:pPr>
      <w:r w:rsidRPr="00C330E2">
        <w:rPr>
          <w:lang w:val="en-GB"/>
        </w:rPr>
        <w:t xml:space="preserve">The costs for personnel, site services, and utilities will also be specific to the given application and very dependent on the degree of modifications that would be needed for the installation. A calculation </w:t>
      </w:r>
      <w:r w:rsidR="00866203">
        <w:rPr>
          <w:lang w:val="en-GB"/>
        </w:rPr>
        <w:t>has been done</w:t>
      </w:r>
      <w:r w:rsidRPr="00C330E2">
        <w:rPr>
          <w:lang w:val="en-GB"/>
        </w:rPr>
        <w:t xml:space="preserve"> assuming two weeks of modifications, four weeks of decommissioning, and twelve weeks of testing time. </w:t>
      </w:r>
      <w:r w:rsidR="00866203">
        <w:rPr>
          <w:lang w:val="en-GB"/>
        </w:rPr>
        <w:t>Factors that influence the costs for a project include personnel, which could be provided by the site where the installation is located or by the third party themselves. Also, t</w:t>
      </w:r>
      <w:r w:rsidRPr="00C330E2">
        <w:rPr>
          <w:lang w:val="en-GB"/>
        </w:rPr>
        <w:t xml:space="preserve">he utilities will be dependent on the temperatures and pressures required by the system and so are difficult to predict. In any case, these should be fully covered by the party using the installation. Similarly, gases and any other chemicals should also be paid for by the party. </w:t>
      </w:r>
    </w:p>
    <w:p w:rsidR="00866203" w:rsidRDefault="00866203" w:rsidP="00C330E2">
      <w:pPr>
        <w:jc w:val="both"/>
        <w:rPr>
          <w:lang w:val="en-GB"/>
        </w:rPr>
      </w:pPr>
    </w:p>
    <w:p w:rsidR="00866203" w:rsidRDefault="00C330E2" w:rsidP="00C330E2">
      <w:pPr>
        <w:jc w:val="both"/>
        <w:rPr>
          <w:lang w:val="en-GB"/>
        </w:rPr>
      </w:pPr>
      <w:r w:rsidRPr="00C330E2">
        <w:rPr>
          <w:lang w:val="en-GB"/>
        </w:rPr>
        <w:t>A rough estimation for the</w:t>
      </w:r>
      <w:r w:rsidR="00866203">
        <w:rPr>
          <w:lang w:val="en-GB"/>
        </w:rPr>
        <w:t xml:space="preserve"> total project operating</w:t>
      </w:r>
      <w:r w:rsidRPr="00C330E2">
        <w:rPr>
          <w:lang w:val="en-GB"/>
        </w:rPr>
        <w:t xml:space="preserve"> costs</w:t>
      </w:r>
      <w:r w:rsidR="00866203">
        <w:rPr>
          <w:lang w:val="en-GB"/>
        </w:rPr>
        <w:t xml:space="preserve"> has shown that </w:t>
      </w:r>
      <w:r w:rsidR="00866203" w:rsidRPr="00866203">
        <w:rPr>
          <w:lang w:val="en-GB"/>
        </w:rPr>
        <w:t>t</w:t>
      </w:r>
      <w:r w:rsidRPr="00866203">
        <w:rPr>
          <w:lang w:val="en-GB"/>
        </w:rPr>
        <w:t xml:space="preserve">he total operating costs for a testing campaign of 12 weeks, plus two weeks for start-up and four weeks for decommissioning </w:t>
      </w:r>
      <w:r w:rsidR="00866203" w:rsidRPr="00866203">
        <w:rPr>
          <w:lang w:val="en-GB"/>
        </w:rPr>
        <w:t>will likely be in the</w:t>
      </w:r>
      <w:r w:rsidR="00866203">
        <w:rPr>
          <w:b/>
          <w:lang w:val="en-GB"/>
        </w:rPr>
        <w:t xml:space="preserve"> range of 100 – 150 k€</w:t>
      </w:r>
      <w:r w:rsidRPr="00C330E2">
        <w:rPr>
          <w:b/>
          <w:lang w:val="en-GB"/>
        </w:rPr>
        <w:t xml:space="preserve">, or </w:t>
      </w:r>
      <w:r w:rsidR="00866203">
        <w:rPr>
          <w:b/>
          <w:lang w:val="en-GB"/>
        </w:rPr>
        <w:t>about 25 – 40 k€</w:t>
      </w:r>
      <w:r w:rsidRPr="00C330E2">
        <w:rPr>
          <w:b/>
          <w:lang w:val="en-GB"/>
        </w:rPr>
        <w:t xml:space="preserve"> per month</w:t>
      </w:r>
      <w:r w:rsidR="00866203">
        <w:rPr>
          <w:b/>
          <w:lang w:val="en-GB"/>
        </w:rPr>
        <w:t xml:space="preserve"> of operation</w:t>
      </w:r>
      <w:r w:rsidRPr="00C330E2">
        <w:rPr>
          <w:lang w:val="en-GB"/>
        </w:rPr>
        <w:t xml:space="preserve">. Including the initial investment costs, the total cost for a project of about four months is expected to be in the range of </w:t>
      </w:r>
      <w:r w:rsidRPr="00C330E2">
        <w:rPr>
          <w:b/>
          <w:lang w:val="en-GB"/>
        </w:rPr>
        <w:t>2</w:t>
      </w:r>
      <w:r w:rsidR="00866203">
        <w:rPr>
          <w:b/>
          <w:lang w:val="en-GB"/>
        </w:rPr>
        <w:t>00</w:t>
      </w:r>
      <w:r w:rsidRPr="00C330E2">
        <w:rPr>
          <w:b/>
          <w:lang w:val="en-GB"/>
        </w:rPr>
        <w:t xml:space="preserve"> – </w:t>
      </w:r>
      <w:r w:rsidR="00866203">
        <w:rPr>
          <w:b/>
          <w:lang w:val="en-GB"/>
        </w:rPr>
        <w:t>310</w:t>
      </w:r>
      <w:r w:rsidRPr="00C330E2">
        <w:rPr>
          <w:b/>
          <w:lang w:val="en-GB"/>
        </w:rPr>
        <w:t xml:space="preserve"> k€</w:t>
      </w:r>
      <w:r w:rsidRPr="00C330E2">
        <w:rPr>
          <w:lang w:val="en-GB"/>
        </w:rPr>
        <w:t xml:space="preserve">. </w:t>
      </w:r>
      <w:r w:rsidR="00866203">
        <w:rPr>
          <w:lang w:val="en-GB"/>
        </w:rPr>
        <w:t>Given that it was found that about</w:t>
      </w:r>
      <w:r w:rsidRPr="00C330E2">
        <w:rPr>
          <w:lang w:val="en-GB"/>
        </w:rPr>
        <w:t xml:space="preserve"> 40% of the operational costs in this example are associated with start-up and decommissioning, and the investment costs are about half of the total cost, it is probable that longer term projects will be more attractive for use of the installation. Projects with a duration of a year or more will realize more benefits after the initial investments and costs for decommissioning at the end of the project. It should be noted that this analysis would change if the required investment w</w:t>
      </w:r>
      <w:r w:rsidR="00866203">
        <w:rPr>
          <w:lang w:val="en-GB"/>
        </w:rPr>
        <w:t>as lowered substantially</w:t>
      </w:r>
      <w:r w:rsidRPr="00C330E2">
        <w:rPr>
          <w:lang w:val="en-GB"/>
        </w:rPr>
        <w:t>.</w:t>
      </w:r>
    </w:p>
    <w:p w:rsidR="00866203" w:rsidRDefault="00866203" w:rsidP="00C330E2">
      <w:pPr>
        <w:jc w:val="both"/>
        <w:rPr>
          <w:lang w:val="en-GB"/>
        </w:rPr>
      </w:pPr>
    </w:p>
    <w:p w:rsidR="008649D9" w:rsidRDefault="008649D9" w:rsidP="00C330E2">
      <w:pPr>
        <w:jc w:val="both"/>
        <w:rPr>
          <w:lang w:val="en-GB"/>
        </w:rPr>
      </w:pPr>
    </w:p>
    <w:p w:rsidR="00C330E2" w:rsidRDefault="00C330E2" w:rsidP="00C330E2">
      <w:pPr>
        <w:jc w:val="both"/>
        <w:rPr>
          <w:lang w:val="en-GB"/>
        </w:rPr>
      </w:pPr>
      <w:r w:rsidRPr="00C330E2">
        <w:rPr>
          <w:lang w:val="en-GB"/>
        </w:rPr>
        <w:t xml:space="preserve"> </w:t>
      </w:r>
    </w:p>
    <w:p w:rsidR="00E95E3F" w:rsidRDefault="00E95E3F">
      <w:pPr>
        <w:tabs>
          <w:tab w:val="clear" w:pos="170"/>
          <w:tab w:val="clear" w:pos="680"/>
        </w:tabs>
        <w:spacing w:line="240" w:lineRule="auto"/>
        <w:rPr>
          <w:lang w:val="en-GB"/>
        </w:rPr>
      </w:pPr>
      <w:bookmarkStart w:id="13" w:name="_Toc426056837"/>
      <w:bookmarkStart w:id="14" w:name="_Toc434328941"/>
      <w:r>
        <w:rPr>
          <w:lang w:val="en-GB"/>
        </w:rPr>
        <w:br w:type="page"/>
      </w:r>
    </w:p>
    <w:p w:rsidR="00C330E2" w:rsidRPr="00493502" w:rsidRDefault="00C330E2" w:rsidP="00493502">
      <w:pPr>
        <w:pStyle w:val="Kop1"/>
        <w:rPr>
          <w:lang w:val="en-GB"/>
        </w:rPr>
      </w:pPr>
      <w:bookmarkStart w:id="15" w:name="_Toc447108889"/>
      <w:r w:rsidRPr="00C330E2">
        <w:rPr>
          <w:lang w:val="en-GB"/>
        </w:rPr>
        <w:t>Recommendations for further use of the HetD pilot installation</w:t>
      </w:r>
      <w:bookmarkEnd w:id="13"/>
      <w:bookmarkEnd w:id="14"/>
      <w:bookmarkEnd w:id="15"/>
    </w:p>
    <w:p w:rsidR="00C330E2" w:rsidRPr="00C330E2" w:rsidRDefault="00C330E2" w:rsidP="00C330E2">
      <w:pPr>
        <w:jc w:val="both"/>
        <w:rPr>
          <w:lang w:val="en-GB"/>
        </w:rPr>
      </w:pPr>
      <w:r w:rsidRPr="00C330E2">
        <w:rPr>
          <w:lang w:val="en-GB"/>
        </w:rPr>
        <w:t xml:space="preserve">Given the feedback from the Dutch catalyst community and various companies involved in the chemicals industry in the Netherlands, Germany, and Belgium, the following recommendations have been formulated should the operator or owner wish to pursue future use of the HetD installation with external parties. It should be noted that </w:t>
      </w:r>
      <w:r w:rsidRPr="00C330E2">
        <w:rPr>
          <w:b/>
          <w:lang w:val="en-GB"/>
        </w:rPr>
        <w:t>the possibility of realizing a positive business case is still questionable, but there are cases where the installation could be interesting</w:t>
      </w:r>
      <w:r w:rsidRPr="00C330E2">
        <w:rPr>
          <w:lang w:val="en-GB"/>
        </w:rPr>
        <w:t xml:space="preserve">. As there are a couple of promising leads, it is not recommended to stop these activities, but to realize steady business from the installation, substantial investments </w:t>
      </w:r>
      <w:r w:rsidR="00866203" w:rsidRPr="00F67AE0">
        <w:rPr>
          <w:lang w:val="en-GB"/>
        </w:rPr>
        <w:t xml:space="preserve">(expected to be in the order of 100 – 160 k€) </w:t>
      </w:r>
      <w:r w:rsidRPr="00C330E2">
        <w:rPr>
          <w:lang w:val="en-GB"/>
        </w:rPr>
        <w:t>in line with the recommendations here will most likely be needed, at least for the first parties using the installation. Using the installation for training and testing offer unique opportunities for realizing a steadier and positive business case.</w:t>
      </w:r>
    </w:p>
    <w:p w:rsidR="00C330E2" w:rsidRPr="00C330E2" w:rsidRDefault="00C330E2" w:rsidP="00C330E2">
      <w:pPr>
        <w:jc w:val="both"/>
        <w:rPr>
          <w:lang w:val="en-GB"/>
        </w:rPr>
      </w:pPr>
    </w:p>
    <w:p w:rsidR="00C330E2" w:rsidRPr="00C330E2" w:rsidRDefault="00C330E2" w:rsidP="00C330E2">
      <w:pPr>
        <w:numPr>
          <w:ilvl w:val="0"/>
          <w:numId w:val="43"/>
        </w:numPr>
        <w:jc w:val="both"/>
        <w:rPr>
          <w:lang w:val="en-GB"/>
        </w:rPr>
      </w:pPr>
      <w:r w:rsidRPr="00C330E2">
        <w:rPr>
          <w:b/>
          <w:lang w:val="en-GB"/>
        </w:rPr>
        <w:t>Increase the flexibility and applicability of the installation</w:t>
      </w:r>
    </w:p>
    <w:p w:rsidR="00C330E2" w:rsidRPr="00C330E2" w:rsidRDefault="00C330E2" w:rsidP="00C330E2">
      <w:pPr>
        <w:jc w:val="both"/>
        <w:rPr>
          <w:lang w:val="en-GB"/>
        </w:rPr>
      </w:pPr>
      <w:r w:rsidRPr="00C330E2">
        <w:rPr>
          <w:lang w:val="en-GB"/>
        </w:rPr>
        <w:t>Several aspects of the current specifications of the installation either limit its use or make the initial setup costs for a new project very high. One of the major limitations is that the installation may not be suitable for some processes with acidic conditions. The reactors, piping, and seals should be replaced with those made from more acid-resistant materials. Furthermore, it was stated during visits to various contacts that it would give more flexibility in operations and applications of the installation if the CSTR reactor, originally used as only a pre-mixer, had a larger volume. The suggested capacities were in the range of 20 – 100 L. It was also concluded from this study that the heat exchangers for the chemical reactors are limiting the temperature operating range of the installation. Therefore, it is suggested that at least two heat exchangers be added. Finally, the control software, as it is now, must be re-implemented for each application, which is time consuming and costly. A flexible program that could be easily adapted would be very beneficial. The installation should be made to be as “plug and play” as possible.</w:t>
      </w:r>
    </w:p>
    <w:p w:rsidR="00C330E2" w:rsidRPr="00C330E2" w:rsidRDefault="00C330E2" w:rsidP="00C330E2">
      <w:pPr>
        <w:jc w:val="both"/>
        <w:rPr>
          <w:lang w:val="en-GB"/>
        </w:rPr>
      </w:pPr>
    </w:p>
    <w:p w:rsidR="00C330E2" w:rsidRDefault="00C330E2" w:rsidP="00C330E2">
      <w:pPr>
        <w:jc w:val="both"/>
        <w:rPr>
          <w:lang w:val="en-GB"/>
        </w:rPr>
      </w:pPr>
      <w:r w:rsidRPr="00C330E2">
        <w:rPr>
          <w:lang w:val="en-GB"/>
        </w:rPr>
        <w:t xml:space="preserve">A summary of the expected costs for updating the installation as recommended here is given in </w:t>
      </w:r>
      <w:r w:rsidR="00866203" w:rsidRPr="00866203">
        <w:rPr>
          <w:szCs w:val="18"/>
          <w:lang w:val="en-GB"/>
        </w:rPr>
        <w:fldChar w:fldCharType="begin"/>
      </w:r>
      <w:r w:rsidR="00866203" w:rsidRPr="00866203">
        <w:rPr>
          <w:szCs w:val="18"/>
          <w:lang w:val="en-GB"/>
        </w:rPr>
        <w:instrText xml:space="preserve"> REF _Ref434329555 \h  \* MERGEFORMAT </w:instrText>
      </w:r>
      <w:r w:rsidR="00866203" w:rsidRPr="00866203">
        <w:rPr>
          <w:szCs w:val="18"/>
          <w:lang w:val="en-GB"/>
        </w:rPr>
      </w:r>
      <w:r w:rsidR="00866203" w:rsidRPr="00866203">
        <w:rPr>
          <w:szCs w:val="18"/>
          <w:lang w:val="en-GB"/>
        </w:rPr>
        <w:fldChar w:fldCharType="separate"/>
      </w:r>
      <w:r w:rsidR="00866203" w:rsidRPr="00866203">
        <w:rPr>
          <w:szCs w:val="18"/>
          <w:lang w:val="en-GB"/>
        </w:rPr>
        <w:t>Table 2</w:t>
      </w:r>
      <w:r w:rsidR="00866203" w:rsidRPr="00866203">
        <w:rPr>
          <w:szCs w:val="18"/>
          <w:lang w:val="en-GB"/>
        </w:rPr>
        <w:fldChar w:fldCharType="end"/>
      </w:r>
      <w:r w:rsidR="00866203">
        <w:rPr>
          <w:szCs w:val="18"/>
          <w:lang w:val="en-GB"/>
        </w:rPr>
        <w:t xml:space="preserve"> and repeated here.</w:t>
      </w:r>
      <w:r w:rsidRPr="00C330E2">
        <w:rPr>
          <w:lang w:val="en-GB"/>
        </w:rPr>
        <w:t xml:space="preserve"> Financial governmental support for </w:t>
      </w:r>
      <w:r w:rsidR="00866203">
        <w:rPr>
          <w:lang w:val="en-GB"/>
        </w:rPr>
        <w:t xml:space="preserve">additional </w:t>
      </w:r>
      <w:r w:rsidRPr="00C330E2">
        <w:rPr>
          <w:lang w:val="en-GB"/>
        </w:rPr>
        <w:t>(multilateral) innovation projects, that also help to enlarge the application window of the installation, could be very significant in broadening the applicability of the installation in the market.</w:t>
      </w:r>
    </w:p>
    <w:p w:rsidR="00354444" w:rsidRPr="00C330E2" w:rsidRDefault="00354444" w:rsidP="00C330E2">
      <w:pPr>
        <w:jc w:val="both"/>
        <w:rPr>
          <w:lang w:val="en-GB"/>
        </w:rPr>
      </w:pPr>
    </w:p>
    <w:p w:rsidR="00C330E2" w:rsidRPr="00354444" w:rsidRDefault="00C330E2" w:rsidP="008649D9">
      <w:pPr>
        <w:spacing w:line="360" w:lineRule="auto"/>
        <w:jc w:val="both"/>
        <w:rPr>
          <w:b/>
          <w:sz w:val="16"/>
          <w:lang w:val="en-GB"/>
        </w:rPr>
      </w:pPr>
      <w:bookmarkStart w:id="16" w:name="_Ref436215025"/>
      <w:r w:rsidRPr="00354444">
        <w:rPr>
          <w:b/>
          <w:sz w:val="16"/>
          <w:lang w:val="en-GB"/>
        </w:rPr>
        <w:t xml:space="preserve">Table </w:t>
      </w:r>
      <w:r w:rsidRPr="00354444">
        <w:rPr>
          <w:b/>
          <w:sz w:val="16"/>
          <w:lang w:val="en-GB"/>
        </w:rPr>
        <w:fldChar w:fldCharType="begin"/>
      </w:r>
      <w:r w:rsidRPr="00354444">
        <w:rPr>
          <w:b/>
          <w:sz w:val="16"/>
          <w:lang w:val="en-GB"/>
        </w:rPr>
        <w:instrText xml:space="preserve"> SEQ Table \* ARABIC </w:instrText>
      </w:r>
      <w:r w:rsidRPr="00354444">
        <w:rPr>
          <w:b/>
          <w:sz w:val="16"/>
          <w:lang w:val="en-GB"/>
        </w:rPr>
        <w:fldChar w:fldCharType="separate"/>
      </w:r>
      <w:r w:rsidR="008649D9">
        <w:rPr>
          <w:b/>
          <w:noProof/>
          <w:sz w:val="16"/>
          <w:lang w:val="en-GB"/>
        </w:rPr>
        <w:t>3</w:t>
      </w:r>
      <w:r w:rsidRPr="00354444">
        <w:rPr>
          <w:b/>
          <w:sz w:val="16"/>
          <w:lang w:val="en-GB"/>
        </w:rPr>
        <w:fldChar w:fldCharType="end"/>
      </w:r>
      <w:bookmarkEnd w:id="16"/>
      <w:r w:rsidRPr="00354444">
        <w:rPr>
          <w:b/>
          <w:sz w:val="16"/>
          <w:lang w:val="en-GB"/>
        </w:rPr>
        <w:t xml:space="preserve"> Upfront investment costs expected to be needed to use the installation for a new project</w:t>
      </w:r>
    </w:p>
    <w:tbl>
      <w:tblPr>
        <w:tblStyle w:val="Kleurrijkraster-accent1"/>
        <w:tblW w:w="0" w:type="auto"/>
        <w:tblLook w:val="0420" w:firstRow="1" w:lastRow="0" w:firstColumn="0" w:lastColumn="0" w:noHBand="0" w:noVBand="1"/>
      </w:tblPr>
      <w:tblGrid>
        <w:gridCol w:w="2093"/>
        <w:gridCol w:w="5103"/>
        <w:gridCol w:w="1984"/>
      </w:tblGrid>
      <w:tr w:rsidR="00C330E2" w:rsidRPr="00C330E2" w:rsidTr="00354444">
        <w:trPr>
          <w:cnfStyle w:val="100000000000" w:firstRow="1" w:lastRow="0" w:firstColumn="0" w:lastColumn="0" w:oddVBand="0" w:evenVBand="0" w:oddHBand="0" w:evenHBand="0" w:firstRowFirstColumn="0" w:firstRowLastColumn="0" w:lastRowFirstColumn="0" w:lastRowLastColumn="0"/>
        </w:trPr>
        <w:tc>
          <w:tcPr>
            <w:tcW w:w="2093" w:type="dxa"/>
          </w:tcPr>
          <w:p w:rsidR="00C330E2" w:rsidRPr="00C330E2" w:rsidRDefault="00C330E2" w:rsidP="00C330E2">
            <w:pPr>
              <w:jc w:val="both"/>
              <w:rPr>
                <w:lang w:val="en-GB"/>
              </w:rPr>
            </w:pPr>
            <w:r w:rsidRPr="00C330E2">
              <w:rPr>
                <w:lang w:val="en-GB"/>
              </w:rPr>
              <w:t xml:space="preserve">Equipment </w:t>
            </w:r>
          </w:p>
        </w:tc>
        <w:tc>
          <w:tcPr>
            <w:tcW w:w="5103" w:type="dxa"/>
          </w:tcPr>
          <w:p w:rsidR="00C330E2" w:rsidRPr="00C330E2" w:rsidRDefault="00C330E2" w:rsidP="00C330E2">
            <w:pPr>
              <w:jc w:val="both"/>
              <w:rPr>
                <w:lang w:val="en-GB"/>
              </w:rPr>
            </w:pPr>
            <w:r w:rsidRPr="00C330E2">
              <w:rPr>
                <w:lang w:val="en-GB"/>
              </w:rPr>
              <w:t>Specifications</w:t>
            </w:r>
          </w:p>
        </w:tc>
        <w:tc>
          <w:tcPr>
            <w:tcW w:w="1984" w:type="dxa"/>
          </w:tcPr>
          <w:p w:rsidR="00C330E2" w:rsidRPr="00C330E2" w:rsidRDefault="00C330E2" w:rsidP="00C330E2">
            <w:pPr>
              <w:jc w:val="both"/>
              <w:rPr>
                <w:lang w:val="en-GB"/>
              </w:rPr>
            </w:pPr>
            <w:r w:rsidRPr="00C330E2">
              <w:rPr>
                <w:lang w:val="en-GB"/>
              </w:rPr>
              <w:t>Cost (€)</w:t>
            </w:r>
          </w:p>
        </w:tc>
      </w:tr>
      <w:tr w:rsidR="00C330E2" w:rsidRPr="00C330E2" w:rsidTr="00354444">
        <w:trPr>
          <w:cnfStyle w:val="000000100000" w:firstRow="0" w:lastRow="0" w:firstColumn="0" w:lastColumn="0" w:oddVBand="0" w:evenVBand="0" w:oddHBand="1" w:evenHBand="0" w:firstRowFirstColumn="0" w:firstRowLastColumn="0" w:lastRowFirstColumn="0" w:lastRowLastColumn="0"/>
        </w:trPr>
        <w:tc>
          <w:tcPr>
            <w:tcW w:w="2093" w:type="dxa"/>
          </w:tcPr>
          <w:p w:rsidR="00C330E2" w:rsidRPr="00C330E2" w:rsidRDefault="00C330E2" w:rsidP="00C330E2">
            <w:pPr>
              <w:jc w:val="both"/>
              <w:rPr>
                <w:lang w:val="en-GB"/>
              </w:rPr>
            </w:pPr>
            <w:r w:rsidRPr="00C330E2">
              <w:rPr>
                <w:lang w:val="en-GB"/>
              </w:rPr>
              <w:t>CSTR</w:t>
            </w:r>
          </w:p>
        </w:tc>
        <w:tc>
          <w:tcPr>
            <w:tcW w:w="5103" w:type="dxa"/>
          </w:tcPr>
          <w:p w:rsidR="00C330E2" w:rsidRPr="00C330E2" w:rsidRDefault="00C330E2" w:rsidP="00C330E2">
            <w:pPr>
              <w:jc w:val="both"/>
              <w:rPr>
                <w:lang w:val="en-GB"/>
              </w:rPr>
            </w:pPr>
            <w:r w:rsidRPr="00C330E2">
              <w:rPr>
                <w:lang w:val="en-GB"/>
              </w:rPr>
              <w:t>20 – 100 L, SS316, 60bar.</w:t>
            </w:r>
          </w:p>
        </w:tc>
        <w:tc>
          <w:tcPr>
            <w:tcW w:w="1984" w:type="dxa"/>
          </w:tcPr>
          <w:p w:rsidR="00C330E2" w:rsidRPr="00C330E2" w:rsidRDefault="00C330E2" w:rsidP="00C330E2">
            <w:pPr>
              <w:jc w:val="both"/>
              <w:rPr>
                <w:lang w:val="en-GB"/>
              </w:rPr>
            </w:pPr>
            <w:r w:rsidRPr="00C330E2">
              <w:rPr>
                <w:lang w:val="en-GB"/>
              </w:rPr>
              <w:t>38,000 – 84,000</w:t>
            </w:r>
          </w:p>
        </w:tc>
      </w:tr>
      <w:tr w:rsidR="00C330E2" w:rsidRPr="00C330E2" w:rsidTr="00354444">
        <w:tc>
          <w:tcPr>
            <w:tcW w:w="2093" w:type="dxa"/>
          </w:tcPr>
          <w:p w:rsidR="00C330E2" w:rsidRPr="00C330E2" w:rsidRDefault="00C330E2" w:rsidP="00C330E2">
            <w:pPr>
              <w:jc w:val="both"/>
              <w:rPr>
                <w:lang w:val="en-GB"/>
              </w:rPr>
            </w:pPr>
            <w:r w:rsidRPr="00C330E2">
              <w:rPr>
                <w:lang w:val="en-GB"/>
              </w:rPr>
              <w:t>Heat exchanger*</w:t>
            </w:r>
          </w:p>
        </w:tc>
        <w:tc>
          <w:tcPr>
            <w:tcW w:w="5103" w:type="dxa"/>
          </w:tcPr>
          <w:p w:rsidR="00C330E2" w:rsidRPr="00C330E2" w:rsidRDefault="00C330E2" w:rsidP="00C330E2">
            <w:pPr>
              <w:jc w:val="both"/>
              <w:rPr>
                <w:lang w:val="en-GB"/>
              </w:rPr>
            </w:pPr>
            <w:r w:rsidRPr="00C330E2">
              <w:rPr>
                <w:lang w:val="en-GB"/>
              </w:rPr>
              <w:t>Shell tube, 4 m</w:t>
            </w:r>
            <w:r w:rsidRPr="00C330E2">
              <w:rPr>
                <w:vertAlign w:val="superscript"/>
                <w:lang w:val="en-GB"/>
              </w:rPr>
              <w:t>2</w:t>
            </w:r>
            <w:r w:rsidRPr="00C330E2">
              <w:rPr>
                <w:lang w:val="en-GB"/>
              </w:rPr>
              <w:t>, 30 bar, SS316</w:t>
            </w:r>
          </w:p>
        </w:tc>
        <w:tc>
          <w:tcPr>
            <w:tcW w:w="1984" w:type="dxa"/>
          </w:tcPr>
          <w:p w:rsidR="00C330E2" w:rsidRPr="00C330E2" w:rsidRDefault="00C330E2" w:rsidP="00C330E2">
            <w:pPr>
              <w:jc w:val="both"/>
              <w:rPr>
                <w:lang w:val="en-GB"/>
              </w:rPr>
            </w:pPr>
            <w:r w:rsidRPr="00C330E2">
              <w:rPr>
                <w:lang w:val="en-GB"/>
              </w:rPr>
              <w:t>3600</w:t>
            </w:r>
          </w:p>
        </w:tc>
      </w:tr>
      <w:tr w:rsidR="00C330E2" w:rsidRPr="00C330E2" w:rsidTr="00354444">
        <w:trPr>
          <w:cnfStyle w:val="000000100000" w:firstRow="0" w:lastRow="0" w:firstColumn="0" w:lastColumn="0" w:oddVBand="0" w:evenVBand="0" w:oddHBand="1" w:evenHBand="0" w:firstRowFirstColumn="0" w:firstRowLastColumn="0" w:lastRowFirstColumn="0" w:lastRowLastColumn="0"/>
        </w:trPr>
        <w:tc>
          <w:tcPr>
            <w:tcW w:w="2093" w:type="dxa"/>
          </w:tcPr>
          <w:p w:rsidR="00C330E2" w:rsidRPr="00C330E2" w:rsidRDefault="00C330E2" w:rsidP="00C330E2">
            <w:pPr>
              <w:jc w:val="both"/>
              <w:rPr>
                <w:lang w:val="en-GB"/>
              </w:rPr>
            </w:pPr>
            <w:r w:rsidRPr="00C330E2">
              <w:rPr>
                <w:lang w:val="en-GB"/>
              </w:rPr>
              <w:t>Piping, seals, etc.*</w:t>
            </w:r>
          </w:p>
        </w:tc>
        <w:tc>
          <w:tcPr>
            <w:tcW w:w="5103" w:type="dxa"/>
          </w:tcPr>
          <w:p w:rsidR="00C330E2" w:rsidRPr="00C330E2" w:rsidRDefault="00C330E2" w:rsidP="00C330E2">
            <w:pPr>
              <w:jc w:val="both"/>
              <w:rPr>
                <w:lang w:val="en-GB"/>
              </w:rPr>
            </w:pPr>
            <w:r w:rsidRPr="00C330E2">
              <w:rPr>
                <w:lang w:val="en-GB"/>
              </w:rPr>
              <w:t>Alloys, acid-resistant materials</w:t>
            </w:r>
          </w:p>
        </w:tc>
        <w:tc>
          <w:tcPr>
            <w:tcW w:w="1984" w:type="dxa"/>
          </w:tcPr>
          <w:p w:rsidR="00C330E2" w:rsidRPr="00C330E2" w:rsidRDefault="00C330E2" w:rsidP="00C330E2">
            <w:pPr>
              <w:jc w:val="both"/>
              <w:rPr>
                <w:lang w:val="en-GB"/>
              </w:rPr>
            </w:pPr>
            <w:r w:rsidRPr="00C330E2">
              <w:rPr>
                <w:lang w:val="en-GB"/>
              </w:rPr>
              <w:t>50,000</w:t>
            </w:r>
          </w:p>
        </w:tc>
      </w:tr>
      <w:tr w:rsidR="00C330E2" w:rsidRPr="00C330E2" w:rsidTr="00354444">
        <w:tc>
          <w:tcPr>
            <w:tcW w:w="2093" w:type="dxa"/>
          </w:tcPr>
          <w:p w:rsidR="00C330E2" w:rsidRPr="00C330E2" w:rsidRDefault="00C330E2" w:rsidP="00C330E2">
            <w:pPr>
              <w:jc w:val="both"/>
              <w:rPr>
                <w:lang w:val="en-GB"/>
              </w:rPr>
            </w:pPr>
            <w:r w:rsidRPr="00C330E2">
              <w:rPr>
                <w:lang w:val="en-GB"/>
              </w:rPr>
              <w:t>Software</w:t>
            </w:r>
          </w:p>
        </w:tc>
        <w:tc>
          <w:tcPr>
            <w:tcW w:w="5103" w:type="dxa"/>
          </w:tcPr>
          <w:p w:rsidR="00C330E2" w:rsidRPr="00C330E2" w:rsidRDefault="00C330E2" w:rsidP="00C330E2">
            <w:pPr>
              <w:jc w:val="both"/>
              <w:rPr>
                <w:lang w:val="en-GB"/>
              </w:rPr>
            </w:pPr>
            <w:r w:rsidRPr="00C330E2">
              <w:rPr>
                <w:lang w:val="en-GB"/>
              </w:rPr>
              <w:t>85 €/hr for a DCS engineer, about 200 hours needed</w:t>
            </w:r>
          </w:p>
        </w:tc>
        <w:tc>
          <w:tcPr>
            <w:tcW w:w="1984" w:type="dxa"/>
          </w:tcPr>
          <w:p w:rsidR="00C330E2" w:rsidRPr="00C330E2" w:rsidRDefault="00C330E2" w:rsidP="00C330E2">
            <w:pPr>
              <w:jc w:val="both"/>
              <w:rPr>
                <w:lang w:val="en-GB"/>
              </w:rPr>
            </w:pPr>
            <w:r w:rsidRPr="00C330E2">
              <w:rPr>
                <w:lang w:val="en-GB"/>
              </w:rPr>
              <w:t>17,000</w:t>
            </w:r>
          </w:p>
        </w:tc>
      </w:tr>
    </w:tbl>
    <w:p w:rsidR="00C330E2" w:rsidRPr="00C330E2" w:rsidRDefault="00C330E2" w:rsidP="00C330E2">
      <w:pPr>
        <w:jc w:val="both"/>
        <w:rPr>
          <w:lang w:val="en-GB"/>
        </w:rPr>
      </w:pPr>
      <w:r w:rsidRPr="00C330E2">
        <w:rPr>
          <w:lang w:val="en-GB"/>
        </w:rPr>
        <w:t>*More specifications are needed to make a more accurate cost calculation.</w:t>
      </w:r>
    </w:p>
    <w:p w:rsidR="00C330E2" w:rsidRPr="00C330E2" w:rsidRDefault="00C330E2" w:rsidP="00C330E2">
      <w:pPr>
        <w:numPr>
          <w:ilvl w:val="0"/>
          <w:numId w:val="43"/>
        </w:numPr>
        <w:jc w:val="both"/>
        <w:rPr>
          <w:b/>
          <w:lang w:val="en-GB"/>
        </w:rPr>
      </w:pPr>
      <w:r w:rsidRPr="00C330E2">
        <w:rPr>
          <w:b/>
          <w:lang w:val="en-GB"/>
        </w:rPr>
        <w:t>Assess competition with other pilot plants being setup in joint research centres and identify opportunities</w:t>
      </w:r>
    </w:p>
    <w:p w:rsidR="00C330E2" w:rsidRPr="00C330E2" w:rsidRDefault="00C330E2" w:rsidP="00C330E2">
      <w:pPr>
        <w:jc w:val="both"/>
        <w:rPr>
          <w:lang w:val="en-GB"/>
        </w:rPr>
      </w:pPr>
      <w:r w:rsidRPr="00C330E2">
        <w:rPr>
          <w:lang w:val="en-GB"/>
        </w:rPr>
        <w:t>More pilot plants are being constructed in and close to the Netherlands as part of joint open innovation research initiatives specific to a certain research area. The advantages and disadvantages of the installation at Plant One Rotterdam should be compared to other facilities to be more effective when addressing further business development. Also, the installation might be complementary to facilities that the other research centres have at this moment, such as when the HetD installation fills a gap within the existing facilities at research centres. In addition, the HetD installation may fit into the plans for new facilities that the research centres intend to build or realize in the near future. In such cases, the HetD installation may become an element to complete the assortment which another research centre can offer, either while still located at Plant One Rotterdam or (temporarily) relocated to another research centre. Moreover, the expertise to adequately run the ensemble of installations may be shared (offering possible advantages regarding cost effectiveness and completeness at the expert level).</w:t>
      </w:r>
    </w:p>
    <w:p w:rsidR="00C330E2" w:rsidRPr="00C330E2" w:rsidRDefault="00C330E2" w:rsidP="00C330E2">
      <w:pPr>
        <w:jc w:val="both"/>
        <w:rPr>
          <w:lang w:val="en-GB"/>
        </w:rPr>
      </w:pPr>
    </w:p>
    <w:p w:rsidR="00C330E2" w:rsidRPr="00C330E2" w:rsidRDefault="00C330E2" w:rsidP="008649D9">
      <w:pPr>
        <w:spacing w:after="120"/>
        <w:jc w:val="both"/>
        <w:rPr>
          <w:lang w:val="en-GB"/>
        </w:rPr>
      </w:pPr>
      <w:r w:rsidRPr="00C330E2">
        <w:rPr>
          <w:lang w:val="en-GB"/>
        </w:rPr>
        <w:t>Examples of these research centres are:</w:t>
      </w:r>
    </w:p>
    <w:p w:rsidR="00C330E2" w:rsidRPr="00C330E2" w:rsidRDefault="00C330E2" w:rsidP="00C330E2">
      <w:pPr>
        <w:numPr>
          <w:ilvl w:val="0"/>
          <w:numId w:val="42"/>
        </w:numPr>
        <w:jc w:val="both"/>
        <w:rPr>
          <w:lang w:val="en-GB"/>
        </w:rPr>
      </w:pPr>
      <w:r w:rsidRPr="00C330E2">
        <w:rPr>
          <w:lang w:val="en-GB"/>
        </w:rPr>
        <w:t>Brightlands Chemelot campus (Geleen)</w:t>
      </w:r>
    </w:p>
    <w:p w:rsidR="00C330E2" w:rsidRPr="00C330E2" w:rsidRDefault="006C18BA" w:rsidP="008649D9">
      <w:pPr>
        <w:spacing w:after="120"/>
        <w:jc w:val="both"/>
        <w:rPr>
          <w:lang w:val="en-GB"/>
        </w:rPr>
      </w:pPr>
      <w:hyperlink r:id="rId7" w:history="1">
        <w:r w:rsidR="00C330E2" w:rsidRPr="00C330E2">
          <w:rPr>
            <w:rStyle w:val="Hyperlink"/>
            <w:lang w:val="en-GB"/>
          </w:rPr>
          <w:t>http://www.brightlands.com/brightlands-chemelot-campus</w:t>
        </w:r>
      </w:hyperlink>
    </w:p>
    <w:p w:rsidR="00C330E2" w:rsidRPr="00C330E2" w:rsidRDefault="00C330E2" w:rsidP="00C330E2">
      <w:pPr>
        <w:numPr>
          <w:ilvl w:val="0"/>
          <w:numId w:val="42"/>
        </w:numPr>
        <w:jc w:val="both"/>
        <w:rPr>
          <w:lang w:val="en-GB"/>
        </w:rPr>
      </w:pPr>
      <w:r w:rsidRPr="00C330E2">
        <w:rPr>
          <w:lang w:val="en-GB"/>
        </w:rPr>
        <w:t>Green Chemistry Campus (Bergen op Zoom)</w:t>
      </w:r>
    </w:p>
    <w:p w:rsidR="00C330E2" w:rsidRPr="00C330E2" w:rsidRDefault="006C18BA" w:rsidP="008649D9">
      <w:pPr>
        <w:spacing w:after="120"/>
        <w:jc w:val="both"/>
        <w:rPr>
          <w:lang w:val="en-GB"/>
        </w:rPr>
      </w:pPr>
      <w:hyperlink r:id="rId8" w:history="1">
        <w:r w:rsidR="00C330E2" w:rsidRPr="00C330E2">
          <w:rPr>
            <w:rStyle w:val="Hyperlink"/>
            <w:lang w:val="en-GB"/>
          </w:rPr>
          <w:t>http://www.greenchemistrycampus.com/en/</w:t>
        </w:r>
      </w:hyperlink>
    </w:p>
    <w:p w:rsidR="00C330E2" w:rsidRPr="00C330E2" w:rsidRDefault="00C330E2" w:rsidP="00C330E2">
      <w:pPr>
        <w:numPr>
          <w:ilvl w:val="0"/>
          <w:numId w:val="42"/>
        </w:numPr>
        <w:jc w:val="both"/>
        <w:rPr>
          <w:lang w:val="en-GB"/>
        </w:rPr>
      </w:pPr>
      <w:r w:rsidRPr="00C330E2">
        <w:rPr>
          <w:lang w:val="en-GB"/>
        </w:rPr>
        <w:t>Centre for Process Innovation (Newcastle, UK)</w:t>
      </w:r>
    </w:p>
    <w:p w:rsidR="00C330E2" w:rsidRPr="00C330E2" w:rsidRDefault="006C18BA" w:rsidP="008649D9">
      <w:pPr>
        <w:spacing w:after="120"/>
        <w:jc w:val="both"/>
        <w:rPr>
          <w:lang w:val="en-GB"/>
        </w:rPr>
      </w:pPr>
      <w:hyperlink r:id="rId9" w:history="1">
        <w:r w:rsidR="00C330E2" w:rsidRPr="00C330E2">
          <w:rPr>
            <w:rStyle w:val="Hyperlink"/>
            <w:lang w:val="en-GB"/>
          </w:rPr>
          <w:t>http://www.uk-cpi.com/</w:t>
        </w:r>
      </w:hyperlink>
    </w:p>
    <w:p w:rsidR="00C330E2" w:rsidRPr="00C330E2" w:rsidRDefault="00C330E2" w:rsidP="00C330E2">
      <w:pPr>
        <w:numPr>
          <w:ilvl w:val="0"/>
          <w:numId w:val="42"/>
        </w:numPr>
        <w:jc w:val="both"/>
        <w:rPr>
          <w:lang w:val="en-GB"/>
        </w:rPr>
      </w:pPr>
      <w:r w:rsidRPr="00C330E2">
        <w:rPr>
          <w:lang w:val="en-GB"/>
        </w:rPr>
        <w:t>Invite (Leverkusen, Germany)</w:t>
      </w:r>
    </w:p>
    <w:p w:rsidR="00C330E2" w:rsidRPr="00C330E2" w:rsidRDefault="006C18BA" w:rsidP="00C330E2">
      <w:pPr>
        <w:jc w:val="both"/>
        <w:rPr>
          <w:lang w:val="en-GB"/>
        </w:rPr>
      </w:pPr>
      <w:hyperlink r:id="rId10" w:history="1">
        <w:r w:rsidR="00C330E2" w:rsidRPr="00C330E2">
          <w:rPr>
            <w:rStyle w:val="Hyperlink"/>
            <w:lang w:val="en-GB"/>
          </w:rPr>
          <w:t>http://www.invite-research.com/en/</w:t>
        </w:r>
      </w:hyperlink>
      <w:r w:rsidR="00C330E2" w:rsidRPr="00C330E2">
        <w:rPr>
          <w:lang w:val="en-GB"/>
        </w:rPr>
        <w:t xml:space="preserve"> </w:t>
      </w:r>
    </w:p>
    <w:p w:rsidR="00C330E2" w:rsidRPr="00C330E2" w:rsidRDefault="00C330E2" w:rsidP="00C330E2">
      <w:pPr>
        <w:jc w:val="both"/>
        <w:rPr>
          <w:lang w:val="en-GB"/>
        </w:rPr>
      </w:pPr>
    </w:p>
    <w:p w:rsidR="00C330E2" w:rsidRPr="00C330E2" w:rsidRDefault="00C330E2" w:rsidP="00C330E2">
      <w:pPr>
        <w:numPr>
          <w:ilvl w:val="0"/>
          <w:numId w:val="43"/>
        </w:numPr>
        <w:jc w:val="both"/>
        <w:rPr>
          <w:b/>
          <w:lang w:val="en-GB"/>
        </w:rPr>
      </w:pPr>
      <w:r w:rsidRPr="00C330E2">
        <w:rPr>
          <w:b/>
          <w:lang w:val="en-GB"/>
        </w:rPr>
        <w:t>Pursue longer term projects</w:t>
      </w:r>
    </w:p>
    <w:p w:rsidR="00C330E2" w:rsidRPr="00C330E2" w:rsidRDefault="00C330E2" w:rsidP="00C330E2">
      <w:pPr>
        <w:jc w:val="both"/>
        <w:rPr>
          <w:lang w:val="en-GB"/>
        </w:rPr>
      </w:pPr>
      <w:r w:rsidRPr="00C330E2">
        <w:rPr>
          <w:lang w:val="en-GB"/>
        </w:rPr>
        <w:t xml:space="preserve">Given the high costs expected for the initial investment, start-up, and decommissioning, a long term project will be more likely to have a positive business case than a project of only a few months. Whether bilateral business-to-business, multilateral, or subsidized projects are pursued will depend on the business model for the installation operator. In general, a bilateral approach will more likely be shorter term and will most likely require that minimal adaptation of the installation is needed before use, giving accurate results quickly and efficiently. </w:t>
      </w:r>
    </w:p>
    <w:p w:rsidR="00C330E2" w:rsidRPr="00C330E2" w:rsidRDefault="00C330E2" w:rsidP="00C330E2">
      <w:pPr>
        <w:jc w:val="both"/>
        <w:rPr>
          <w:lang w:val="en-GB"/>
        </w:rPr>
      </w:pPr>
    </w:p>
    <w:p w:rsidR="00C330E2" w:rsidRPr="00C330E2" w:rsidRDefault="00C330E2" w:rsidP="00C330E2">
      <w:pPr>
        <w:jc w:val="both"/>
        <w:rPr>
          <w:lang w:val="en-GB"/>
        </w:rPr>
      </w:pPr>
      <w:r w:rsidRPr="00C330E2">
        <w:rPr>
          <w:lang w:val="en-GB"/>
        </w:rPr>
        <w:t xml:space="preserve">Multilateral innovation projects have the advantage of the sharing of risks and investments and offer a higher potential for implementation and for broadening the application window, and so should be favoured from that perspective, but have the disadvantage that they are often more complicated to start. Governmental financial support would help in these cases. In view of the TRL levels often at stake when using installations like the HetD installation, it is to be expected that starting multilateral projects with partners over the entirety of a certain supply chain may be easier than with a group of the same kind of end users or providers, for competitive reasons. </w:t>
      </w:r>
    </w:p>
    <w:p w:rsidR="00C330E2" w:rsidRPr="00C330E2" w:rsidRDefault="00C330E2" w:rsidP="00C330E2">
      <w:pPr>
        <w:jc w:val="both"/>
        <w:rPr>
          <w:lang w:val="en-GB"/>
        </w:rPr>
      </w:pPr>
    </w:p>
    <w:p w:rsidR="00C330E2" w:rsidRPr="00C330E2" w:rsidRDefault="00C330E2" w:rsidP="00C330E2">
      <w:pPr>
        <w:jc w:val="both"/>
        <w:rPr>
          <w:lang w:val="en-GB"/>
        </w:rPr>
      </w:pPr>
      <w:r w:rsidRPr="00C330E2">
        <w:rPr>
          <w:lang w:val="en-GB"/>
        </w:rPr>
        <w:t>Going for governmental subsidies will fit better with longer time frames for projects, with more research-based activities and perhaps lower compensation rates. Significant modifications to the installation would be more acceptable within subsidy-based projects and could make the installation more suitable for future bilateral and multilateral projects. Other cases are also possible, such as using the installation for production scale-up and for training or testing purposes, which have other conditions and requirements that would make a different business model more suitable and can make shorter term projects also interesting.</w:t>
      </w:r>
    </w:p>
    <w:p w:rsidR="00C330E2" w:rsidRPr="00C330E2" w:rsidRDefault="00C330E2" w:rsidP="00C330E2">
      <w:pPr>
        <w:jc w:val="both"/>
        <w:rPr>
          <w:lang w:val="en-GB"/>
        </w:rPr>
      </w:pPr>
    </w:p>
    <w:p w:rsidR="00C330E2" w:rsidRDefault="00C330E2" w:rsidP="00C330E2">
      <w:pPr>
        <w:jc w:val="both"/>
        <w:rPr>
          <w:lang w:val="en-GB"/>
        </w:rPr>
      </w:pPr>
      <w:r w:rsidRPr="00C330E2">
        <w:rPr>
          <w:lang w:val="en-GB"/>
        </w:rPr>
        <w:t xml:space="preserve">The approach to business development should be different between bilateral, multilateral, subsidy-based, and other business models. A detailed analysis based on the results presented here, the current situation at Plant One Rotterdam, and the expected future situation of the expected installation operator should be carried out to determine the best approach to focus more efforts on. At this time, the best cases to pursue in future business development and their expected chance to realize a new project are given in </w:t>
      </w:r>
      <w:r w:rsidRPr="008649D9">
        <w:rPr>
          <w:szCs w:val="18"/>
          <w:lang w:val="en-GB"/>
        </w:rPr>
        <w:fldChar w:fldCharType="begin"/>
      </w:r>
      <w:r w:rsidRPr="008649D9">
        <w:rPr>
          <w:szCs w:val="18"/>
          <w:lang w:val="en-GB"/>
        </w:rPr>
        <w:instrText xml:space="preserve"> REF _Ref434329903 \h </w:instrText>
      </w:r>
      <w:r w:rsidR="008649D9" w:rsidRPr="008649D9">
        <w:rPr>
          <w:szCs w:val="18"/>
          <w:lang w:val="en-GB"/>
        </w:rPr>
        <w:instrText xml:space="preserve"> \* MERGEFORMAT </w:instrText>
      </w:r>
      <w:r w:rsidRPr="008649D9">
        <w:rPr>
          <w:szCs w:val="18"/>
          <w:lang w:val="en-GB"/>
        </w:rPr>
      </w:r>
      <w:r w:rsidRPr="008649D9">
        <w:rPr>
          <w:szCs w:val="18"/>
          <w:lang w:val="en-GB"/>
        </w:rPr>
        <w:fldChar w:fldCharType="separate"/>
      </w:r>
      <w:r w:rsidR="008649D9" w:rsidRPr="008649D9">
        <w:rPr>
          <w:szCs w:val="18"/>
          <w:lang w:val="en-GB"/>
        </w:rPr>
        <w:t xml:space="preserve">Table </w:t>
      </w:r>
      <w:r w:rsidR="008649D9" w:rsidRPr="008649D9">
        <w:rPr>
          <w:noProof/>
          <w:szCs w:val="18"/>
          <w:lang w:val="en-GB"/>
        </w:rPr>
        <w:t>4</w:t>
      </w:r>
      <w:r w:rsidRPr="008649D9">
        <w:rPr>
          <w:szCs w:val="18"/>
          <w:lang w:val="en-GB"/>
        </w:rPr>
        <w:fldChar w:fldCharType="end"/>
      </w:r>
      <w:r w:rsidRPr="00C330E2">
        <w:rPr>
          <w:lang w:val="en-GB"/>
        </w:rPr>
        <w:t xml:space="preserve"> below.</w:t>
      </w:r>
    </w:p>
    <w:p w:rsidR="00354444" w:rsidRPr="00C330E2" w:rsidRDefault="00354444" w:rsidP="008649D9">
      <w:pPr>
        <w:spacing w:line="360" w:lineRule="auto"/>
        <w:jc w:val="both"/>
        <w:rPr>
          <w:lang w:val="en-GB"/>
        </w:rPr>
      </w:pPr>
    </w:p>
    <w:p w:rsidR="00C330E2" w:rsidRPr="00354444" w:rsidRDefault="00C330E2" w:rsidP="008649D9">
      <w:pPr>
        <w:spacing w:line="360" w:lineRule="auto"/>
        <w:jc w:val="both"/>
        <w:rPr>
          <w:b/>
          <w:sz w:val="16"/>
          <w:lang w:val="en-GB"/>
        </w:rPr>
      </w:pPr>
      <w:bookmarkStart w:id="17" w:name="_Ref434329903"/>
      <w:r w:rsidRPr="00354444">
        <w:rPr>
          <w:b/>
          <w:sz w:val="16"/>
          <w:lang w:val="en-GB"/>
        </w:rPr>
        <w:t xml:space="preserve">Table </w:t>
      </w:r>
      <w:r w:rsidRPr="00354444">
        <w:rPr>
          <w:b/>
          <w:sz w:val="16"/>
          <w:lang w:val="en-GB"/>
        </w:rPr>
        <w:fldChar w:fldCharType="begin"/>
      </w:r>
      <w:r w:rsidRPr="00354444">
        <w:rPr>
          <w:b/>
          <w:sz w:val="16"/>
          <w:lang w:val="en-GB"/>
        </w:rPr>
        <w:instrText xml:space="preserve"> SEQ Table \* ARABIC </w:instrText>
      </w:r>
      <w:r w:rsidRPr="00354444">
        <w:rPr>
          <w:b/>
          <w:sz w:val="16"/>
          <w:lang w:val="en-GB"/>
        </w:rPr>
        <w:fldChar w:fldCharType="separate"/>
      </w:r>
      <w:r w:rsidR="008649D9">
        <w:rPr>
          <w:b/>
          <w:noProof/>
          <w:sz w:val="16"/>
          <w:lang w:val="en-GB"/>
        </w:rPr>
        <w:t>4</w:t>
      </w:r>
      <w:r w:rsidRPr="00354444">
        <w:rPr>
          <w:b/>
          <w:sz w:val="16"/>
          <w:lang w:val="en-GB"/>
        </w:rPr>
        <w:fldChar w:fldCharType="end"/>
      </w:r>
      <w:bookmarkEnd w:id="17"/>
      <w:r w:rsidRPr="00354444">
        <w:rPr>
          <w:b/>
          <w:sz w:val="16"/>
          <w:lang w:val="en-GB"/>
        </w:rPr>
        <w:t xml:space="preserve"> Possible business cases to be pursued for continued use of the installation</w:t>
      </w:r>
    </w:p>
    <w:tbl>
      <w:tblPr>
        <w:tblStyle w:val="Kleurrijkraster-accent1"/>
        <w:tblW w:w="0" w:type="auto"/>
        <w:tblCellMar>
          <w:top w:w="28" w:type="dxa"/>
          <w:bottom w:w="28" w:type="dxa"/>
        </w:tblCellMar>
        <w:tblLook w:val="0420" w:firstRow="1" w:lastRow="0" w:firstColumn="0" w:lastColumn="0" w:noHBand="0" w:noVBand="1"/>
      </w:tblPr>
      <w:tblGrid>
        <w:gridCol w:w="3085"/>
        <w:gridCol w:w="2410"/>
        <w:gridCol w:w="3685"/>
      </w:tblGrid>
      <w:tr w:rsidR="00C330E2" w:rsidRPr="00C330E2" w:rsidTr="00354444">
        <w:trPr>
          <w:cnfStyle w:val="100000000000" w:firstRow="1" w:lastRow="0" w:firstColumn="0" w:lastColumn="0" w:oddVBand="0" w:evenVBand="0" w:oddHBand="0" w:evenHBand="0" w:firstRowFirstColumn="0" w:firstRowLastColumn="0" w:lastRowFirstColumn="0" w:lastRowLastColumn="0"/>
        </w:trPr>
        <w:tc>
          <w:tcPr>
            <w:tcW w:w="3085" w:type="dxa"/>
            <w:vAlign w:val="center"/>
          </w:tcPr>
          <w:p w:rsidR="00C330E2" w:rsidRPr="00C330E2" w:rsidRDefault="00C330E2" w:rsidP="00C330E2">
            <w:pPr>
              <w:jc w:val="both"/>
              <w:rPr>
                <w:lang w:val="en-GB"/>
              </w:rPr>
            </w:pPr>
            <w:r w:rsidRPr="00C330E2">
              <w:rPr>
                <w:lang w:val="en-GB"/>
              </w:rPr>
              <w:t>Case</w:t>
            </w:r>
          </w:p>
        </w:tc>
        <w:tc>
          <w:tcPr>
            <w:tcW w:w="2410" w:type="dxa"/>
            <w:vAlign w:val="center"/>
          </w:tcPr>
          <w:p w:rsidR="00C330E2" w:rsidRPr="00C330E2" w:rsidRDefault="00C330E2" w:rsidP="00354444">
            <w:pPr>
              <w:jc w:val="center"/>
              <w:rPr>
                <w:lang w:val="en-GB"/>
              </w:rPr>
            </w:pPr>
            <w:r w:rsidRPr="00C330E2">
              <w:rPr>
                <w:lang w:val="en-GB"/>
              </w:rPr>
              <w:t>Chance for success</w:t>
            </w:r>
          </w:p>
        </w:tc>
        <w:tc>
          <w:tcPr>
            <w:tcW w:w="3685" w:type="dxa"/>
            <w:vAlign w:val="center"/>
          </w:tcPr>
          <w:p w:rsidR="00C330E2" w:rsidRPr="00C330E2" w:rsidRDefault="00C330E2" w:rsidP="00C330E2">
            <w:pPr>
              <w:jc w:val="both"/>
              <w:rPr>
                <w:lang w:val="en-GB"/>
              </w:rPr>
            </w:pPr>
            <w:r w:rsidRPr="00C330E2">
              <w:rPr>
                <w:lang w:val="en-GB"/>
              </w:rPr>
              <w:t>Further actions</w:t>
            </w:r>
          </w:p>
        </w:tc>
      </w:tr>
      <w:tr w:rsidR="00C330E2" w:rsidRPr="00D01077" w:rsidTr="00354444">
        <w:trPr>
          <w:cnfStyle w:val="000000100000" w:firstRow="0" w:lastRow="0" w:firstColumn="0" w:lastColumn="0" w:oddVBand="0" w:evenVBand="0" w:oddHBand="1" w:evenHBand="0" w:firstRowFirstColumn="0" w:firstRowLastColumn="0" w:lastRowFirstColumn="0" w:lastRowLastColumn="0"/>
        </w:trPr>
        <w:tc>
          <w:tcPr>
            <w:tcW w:w="3085" w:type="dxa"/>
            <w:vAlign w:val="center"/>
          </w:tcPr>
          <w:p w:rsidR="00C330E2" w:rsidRPr="00C330E2" w:rsidRDefault="00C330E2" w:rsidP="00354444">
            <w:pPr>
              <w:rPr>
                <w:lang w:val="en-GB"/>
              </w:rPr>
            </w:pPr>
            <w:r w:rsidRPr="00C330E2">
              <w:rPr>
                <w:lang w:val="en-GB"/>
              </w:rPr>
              <w:t>Smaller companies for piloting and/or production scale-up</w:t>
            </w:r>
          </w:p>
        </w:tc>
        <w:tc>
          <w:tcPr>
            <w:tcW w:w="2410" w:type="dxa"/>
            <w:vAlign w:val="center"/>
          </w:tcPr>
          <w:p w:rsidR="00C330E2" w:rsidRPr="00C330E2" w:rsidRDefault="00C330E2" w:rsidP="00354444">
            <w:pPr>
              <w:jc w:val="center"/>
              <w:rPr>
                <w:lang w:val="en-GB"/>
              </w:rPr>
            </w:pPr>
            <w:r w:rsidRPr="00C330E2">
              <w:rPr>
                <w:lang w:val="en-GB"/>
              </w:rPr>
              <w:t>+++</w:t>
            </w:r>
          </w:p>
        </w:tc>
        <w:tc>
          <w:tcPr>
            <w:tcW w:w="3685" w:type="dxa"/>
            <w:vAlign w:val="center"/>
          </w:tcPr>
          <w:p w:rsidR="00C330E2" w:rsidRPr="00C330E2" w:rsidRDefault="00C330E2" w:rsidP="00354444">
            <w:pPr>
              <w:rPr>
                <w:lang w:val="en-GB"/>
              </w:rPr>
            </w:pPr>
            <w:r w:rsidRPr="00C330E2">
              <w:rPr>
                <w:lang w:val="en-GB"/>
              </w:rPr>
              <w:t>Pursue current leads; active business development; dissemination</w:t>
            </w:r>
          </w:p>
        </w:tc>
      </w:tr>
      <w:tr w:rsidR="00C330E2" w:rsidRPr="00C330E2" w:rsidTr="00354444">
        <w:tc>
          <w:tcPr>
            <w:tcW w:w="3085" w:type="dxa"/>
            <w:vAlign w:val="center"/>
          </w:tcPr>
          <w:p w:rsidR="00C330E2" w:rsidRPr="00C330E2" w:rsidRDefault="00C330E2" w:rsidP="00354444">
            <w:pPr>
              <w:rPr>
                <w:lang w:val="en-GB"/>
              </w:rPr>
            </w:pPr>
            <w:r w:rsidRPr="00C330E2">
              <w:rPr>
                <w:lang w:val="en-GB"/>
              </w:rPr>
              <w:t>Product market introduction</w:t>
            </w:r>
          </w:p>
        </w:tc>
        <w:tc>
          <w:tcPr>
            <w:tcW w:w="2410" w:type="dxa"/>
            <w:vAlign w:val="center"/>
          </w:tcPr>
          <w:p w:rsidR="00C330E2" w:rsidRPr="00C330E2" w:rsidRDefault="00C330E2" w:rsidP="00354444">
            <w:pPr>
              <w:jc w:val="center"/>
              <w:rPr>
                <w:lang w:val="en-GB"/>
              </w:rPr>
            </w:pPr>
            <w:r w:rsidRPr="00C330E2">
              <w:rPr>
                <w:lang w:val="en-GB"/>
              </w:rPr>
              <w:t>++</w:t>
            </w:r>
          </w:p>
        </w:tc>
        <w:tc>
          <w:tcPr>
            <w:tcW w:w="3685" w:type="dxa"/>
            <w:vAlign w:val="center"/>
          </w:tcPr>
          <w:p w:rsidR="00C330E2" w:rsidRPr="00C330E2" w:rsidRDefault="00C330E2" w:rsidP="00354444">
            <w:pPr>
              <w:rPr>
                <w:lang w:val="en-GB"/>
              </w:rPr>
            </w:pPr>
            <w:r w:rsidRPr="00C330E2">
              <w:rPr>
                <w:lang w:val="en-GB"/>
              </w:rPr>
              <w:t>Dissemination</w:t>
            </w:r>
          </w:p>
        </w:tc>
      </w:tr>
      <w:tr w:rsidR="00C330E2" w:rsidRPr="00C330E2" w:rsidTr="00354444">
        <w:trPr>
          <w:cnfStyle w:val="000000100000" w:firstRow="0" w:lastRow="0" w:firstColumn="0" w:lastColumn="0" w:oddVBand="0" w:evenVBand="0" w:oddHBand="1" w:evenHBand="0" w:firstRowFirstColumn="0" w:firstRowLastColumn="0" w:lastRowFirstColumn="0" w:lastRowLastColumn="0"/>
        </w:trPr>
        <w:tc>
          <w:tcPr>
            <w:tcW w:w="3085" w:type="dxa"/>
            <w:vAlign w:val="center"/>
          </w:tcPr>
          <w:p w:rsidR="00C330E2" w:rsidRPr="00C330E2" w:rsidRDefault="00C330E2" w:rsidP="00354444">
            <w:pPr>
              <w:rPr>
                <w:lang w:val="en-GB"/>
              </w:rPr>
            </w:pPr>
            <w:r w:rsidRPr="00C330E2">
              <w:rPr>
                <w:lang w:val="en-GB"/>
              </w:rPr>
              <w:t>“Green” and bio-based process development</w:t>
            </w:r>
          </w:p>
        </w:tc>
        <w:tc>
          <w:tcPr>
            <w:tcW w:w="2410" w:type="dxa"/>
            <w:vAlign w:val="center"/>
          </w:tcPr>
          <w:p w:rsidR="00C330E2" w:rsidRPr="00C330E2" w:rsidRDefault="00C330E2" w:rsidP="00354444">
            <w:pPr>
              <w:jc w:val="center"/>
              <w:rPr>
                <w:lang w:val="en-GB"/>
              </w:rPr>
            </w:pPr>
            <w:r w:rsidRPr="00C330E2">
              <w:rPr>
                <w:lang w:val="en-GB"/>
              </w:rPr>
              <w:t>++</w:t>
            </w:r>
          </w:p>
        </w:tc>
        <w:tc>
          <w:tcPr>
            <w:tcW w:w="3685" w:type="dxa"/>
            <w:vAlign w:val="center"/>
          </w:tcPr>
          <w:p w:rsidR="00C330E2" w:rsidRPr="00C330E2" w:rsidRDefault="00C330E2" w:rsidP="00354444">
            <w:pPr>
              <w:rPr>
                <w:lang w:val="en-GB"/>
              </w:rPr>
            </w:pPr>
            <w:r w:rsidRPr="00C330E2">
              <w:rPr>
                <w:lang w:val="en-GB"/>
              </w:rPr>
              <w:t>Active business development; dissemination</w:t>
            </w:r>
          </w:p>
        </w:tc>
      </w:tr>
      <w:tr w:rsidR="00C330E2" w:rsidRPr="00C330E2" w:rsidTr="00354444">
        <w:tc>
          <w:tcPr>
            <w:tcW w:w="3085" w:type="dxa"/>
            <w:vAlign w:val="center"/>
          </w:tcPr>
          <w:p w:rsidR="00C330E2" w:rsidRPr="00C330E2" w:rsidRDefault="00C330E2" w:rsidP="00354444">
            <w:pPr>
              <w:rPr>
                <w:lang w:val="en-GB"/>
              </w:rPr>
            </w:pPr>
            <w:r w:rsidRPr="00C330E2">
              <w:rPr>
                <w:lang w:val="en-GB"/>
              </w:rPr>
              <w:t>Regeneration of expensive catalysts</w:t>
            </w:r>
          </w:p>
        </w:tc>
        <w:tc>
          <w:tcPr>
            <w:tcW w:w="2410" w:type="dxa"/>
            <w:vAlign w:val="center"/>
          </w:tcPr>
          <w:p w:rsidR="00C330E2" w:rsidRPr="00C330E2" w:rsidRDefault="00C330E2" w:rsidP="00354444">
            <w:pPr>
              <w:jc w:val="center"/>
              <w:rPr>
                <w:lang w:val="en-GB"/>
              </w:rPr>
            </w:pPr>
            <w:r w:rsidRPr="00C330E2">
              <w:rPr>
                <w:lang w:val="en-GB"/>
              </w:rPr>
              <w:t>+</w:t>
            </w:r>
          </w:p>
        </w:tc>
        <w:tc>
          <w:tcPr>
            <w:tcW w:w="3685" w:type="dxa"/>
            <w:vAlign w:val="center"/>
          </w:tcPr>
          <w:p w:rsidR="00C330E2" w:rsidRPr="00C330E2" w:rsidRDefault="00C330E2" w:rsidP="00354444">
            <w:pPr>
              <w:rPr>
                <w:lang w:val="en-GB"/>
              </w:rPr>
            </w:pPr>
            <w:r w:rsidRPr="00C330E2">
              <w:rPr>
                <w:lang w:val="en-GB"/>
              </w:rPr>
              <w:t>Dissemination</w:t>
            </w:r>
          </w:p>
        </w:tc>
      </w:tr>
      <w:tr w:rsidR="00C330E2" w:rsidRPr="00C330E2" w:rsidTr="00354444">
        <w:trPr>
          <w:cnfStyle w:val="000000100000" w:firstRow="0" w:lastRow="0" w:firstColumn="0" w:lastColumn="0" w:oddVBand="0" w:evenVBand="0" w:oddHBand="1" w:evenHBand="0" w:firstRowFirstColumn="0" w:firstRowLastColumn="0" w:lastRowFirstColumn="0" w:lastRowLastColumn="0"/>
        </w:trPr>
        <w:tc>
          <w:tcPr>
            <w:tcW w:w="3085" w:type="dxa"/>
            <w:vAlign w:val="center"/>
          </w:tcPr>
          <w:p w:rsidR="00C330E2" w:rsidRPr="00C330E2" w:rsidRDefault="00C330E2" w:rsidP="00354444">
            <w:pPr>
              <w:rPr>
                <w:lang w:val="en-GB"/>
              </w:rPr>
            </w:pPr>
            <w:r w:rsidRPr="00C330E2">
              <w:rPr>
                <w:lang w:val="en-GB"/>
              </w:rPr>
              <w:t>Equipment testing</w:t>
            </w:r>
          </w:p>
        </w:tc>
        <w:tc>
          <w:tcPr>
            <w:tcW w:w="2410" w:type="dxa"/>
            <w:vAlign w:val="center"/>
          </w:tcPr>
          <w:p w:rsidR="00C330E2" w:rsidRPr="00C330E2" w:rsidRDefault="00C330E2" w:rsidP="00354444">
            <w:pPr>
              <w:jc w:val="center"/>
              <w:rPr>
                <w:lang w:val="en-GB"/>
              </w:rPr>
            </w:pPr>
            <w:r w:rsidRPr="00C330E2">
              <w:rPr>
                <w:lang w:val="en-GB"/>
              </w:rPr>
              <w:t>+++</w:t>
            </w:r>
          </w:p>
        </w:tc>
        <w:tc>
          <w:tcPr>
            <w:tcW w:w="3685" w:type="dxa"/>
            <w:vAlign w:val="center"/>
          </w:tcPr>
          <w:p w:rsidR="00C330E2" w:rsidRPr="00C330E2" w:rsidRDefault="00C330E2" w:rsidP="00354444">
            <w:pPr>
              <w:rPr>
                <w:lang w:val="en-GB"/>
              </w:rPr>
            </w:pPr>
            <w:r w:rsidRPr="00C330E2">
              <w:rPr>
                <w:lang w:val="en-GB"/>
              </w:rPr>
              <w:t>Active business development; dissemination</w:t>
            </w:r>
          </w:p>
        </w:tc>
      </w:tr>
      <w:tr w:rsidR="00C330E2" w:rsidRPr="00C330E2" w:rsidTr="00354444">
        <w:tc>
          <w:tcPr>
            <w:tcW w:w="3085" w:type="dxa"/>
            <w:vAlign w:val="center"/>
          </w:tcPr>
          <w:p w:rsidR="00C330E2" w:rsidRPr="00C330E2" w:rsidRDefault="00C330E2" w:rsidP="00354444">
            <w:pPr>
              <w:rPr>
                <w:lang w:val="en-GB"/>
              </w:rPr>
            </w:pPr>
            <w:r w:rsidRPr="00C330E2">
              <w:rPr>
                <w:lang w:val="en-GB"/>
              </w:rPr>
              <w:t>Training</w:t>
            </w:r>
          </w:p>
        </w:tc>
        <w:tc>
          <w:tcPr>
            <w:tcW w:w="2410" w:type="dxa"/>
            <w:vAlign w:val="center"/>
          </w:tcPr>
          <w:p w:rsidR="00C330E2" w:rsidRPr="00C330E2" w:rsidRDefault="00C330E2" w:rsidP="00354444">
            <w:pPr>
              <w:jc w:val="center"/>
              <w:rPr>
                <w:lang w:val="en-GB"/>
              </w:rPr>
            </w:pPr>
            <w:r w:rsidRPr="00C330E2">
              <w:rPr>
                <w:lang w:val="en-GB"/>
              </w:rPr>
              <w:t>+++</w:t>
            </w:r>
          </w:p>
        </w:tc>
        <w:tc>
          <w:tcPr>
            <w:tcW w:w="3685" w:type="dxa"/>
            <w:vAlign w:val="center"/>
          </w:tcPr>
          <w:p w:rsidR="00C330E2" w:rsidRPr="00C330E2" w:rsidRDefault="00C330E2" w:rsidP="00354444">
            <w:pPr>
              <w:rPr>
                <w:lang w:val="en-GB"/>
              </w:rPr>
            </w:pPr>
            <w:r w:rsidRPr="00C330E2">
              <w:rPr>
                <w:lang w:val="en-GB"/>
              </w:rPr>
              <w:t>Active business development; dissemination</w:t>
            </w:r>
          </w:p>
        </w:tc>
      </w:tr>
      <w:tr w:rsidR="00C330E2" w:rsidRPr="00C330E2" w:rsidTr="00354444">
        <w:trPr>
          <w:cnfStyle w:val="000000100000" w:firstRow="0" w:lastRow="0" w:firstColumn="0" w:lastColumn="0" w:oddVBand="0" w:evenVBand="0" w:oddHBand="1" w:evenHBand="0" w:firstRowFirstColumn="0" w:firstRowLastColumn="0" w:lastRowFirstColumn="0" w:lastRowLastColumn="0"/>
        </w:trPr>
        <w:tc>
          <w:tcPr>
            <w:tcW w:w="3085" w:type="dxa"/>
            <w:vAlign w:val="center"/>
          </w:tcPr>
          <w:p w:rsidR="00C330E2" w:rsidRPr="00C330E2" w:rsidRDefault="00C330E2" w:rsidP="00354444">
            <w:pPr>
              <w:rPr>
                <w:lang w:val="en-GB"/>
              </w:rPr>
            </w:pPr>
            <w:r w:rsidRPr="00C330E2">
              <w:rPr>
                <w:lang w:val="en-GB"/>
              </w:rPr>
              <w:t>Processes with non-linearities in scale-up</w:t>
            </w:r>
          </w:p>
        </w:tc>
        <w:tc>
          <w:tcPr>
            <w:tcW w:w="2410" w:type="dxa"/>
            <w:vAlign w:val="center"/>
          </w:tcPr>
          <w:p w:rsidR="00C330E2" w:rsidRPr="00C330E2" w:rsidRDefault="00C330E2" w:rsidP="00354444">
            <w:pPr>
              <w:jc w:val="center"/>
              <w:rPr>
                <w:lang w:val="en-GB"/>
              </w:rPr>
            </w:pPr>
            <w:r w:rsidRPr="00C330E2">
              <w:rPr>
                <w:lang w:val="en-GB"/>
              </w:rPr>
              <w:t>+</w:t>
            </w:r>
          </w:p>
        </w:tc>
        <w:tc>
          <w:tcPr>
            <w:tcW w:w="3685" w:type="dxa"/>
            <w:vAlign w:val="center"/>
          </w:tcPr>
          <w:p w:rsidR="00C330E2" w:rsidRPr="00C330E2" w:rsidRDefault="00C330E2" w:rsidP="00354444">
            <w:pPr>
              <w:rPr>
                <w:lang w:val="en-GB"/>
              </w:rPr>
            </w:pPr>
            <w:r w:rsidRPr="00C330E2">
              <w:rPr>
                <w:lang w:val="en-GB"/>
              </w:rPr>
              <w:t>Dissemination</w:t>
            </w:r>
          </w:p>
        </w:tc>
      </w:tr>
      <w:tr w:rsidR="00C330E2" w:rsidRPr="00D01077" w:rsidTr="00354444">
        <w:tc>
          <w:tcPr>
            <w:tcW w:w="3085" w:type="dxa"/>
            <w:vAlign w:val="center"/>
          </w:tcPr>
          <w:p w:rsidR="00C330E2" w:rsidRPr="00C330E2" w:rsidRDefault="00C330E2" w:rsidP="00354444">
            <w:pPr>
              <w:rPr>
                <w:lang w:val="en-GB"/>
              </w:rPr>
            </w:pPr>
            <w:r w:rsidRPr="00C330E2">
              <w:rPr>
                <w:lang w:val="en-GB"/>
              </w:rPr>
              <w:t>Cooperation with other joint research centres</w:t>
            </w:r>
          </w:p>
        </w:tc>
        <w:tc>
          <w:tcPr>
            <w:tcW w:w="2410" w:type="dxa"/>
            <w:vAlign w:val="center"/>
          </w:tcPr>
          <w:p w:rsidR="00C330E2" w:rsidRPr="00C330E2" w:rsidRDefault="00C330E2" w:rsidP="00354444">
            <w:pPr>
              <w:jc w:val="center"/>
              <w:rPr>
                <w:lang w:val="en-GB"/>
              </w:rPr>
            </w:pPr>
            <w:r w:rsidRPr="00C330E2">
              <w:rPr>
                <w:lang w:val="en-GB"/>
              </w:rPr>
              <w:t>+</w:t>
            </w:r>
          </w:p>
        </w:tc>
        <w:tc>
          <w:tcPr>
            <w:tcW w:w="3685" w:type="dxa"/>
            <w:vAlign w:val="center"/>
          </w:tcPr>
          <w:p w:rsidR="00C330E2" w:rsidRPr="00C330E2" w:rsidRDefault="00C330E2" w:rsidP="00354444">
            <w:pPr>
              <w:rPr>
                <w:lang w:val="en-GB"/>
              </w:rPr>
            </w:pPr>
            <w:r w:rsidRPr="00C330E2">
              <w:rPr>
                <w:lang w:val="en-GB"/>
              </w:rPr>
              <w:t>Assessment of competition; active business development</w:t>
            </w:r>
          </w:p>
        </w:tc>
      </w:tr>
    </w:tbl>
    <w:p w:rsidR="00C330E2" w:rsidRPr="00C330E2" w:rsidRDefault="00C330E2" w:rsidP="00C330E2">
      <w:pPr>
        <w:jc w:val="both"/>
        <w:rPr>
          <w:lang w:val="en-GB"/>
        </w:rPr>
      </w:pPr>
    </w:p>
    <w:p w:rsidR="00C330E2" w:rsidRPr="00C330E2" w:rsidRDefault="00C330E2" w:rsidP="00C330E2">
      <w:pPr>
        <w:jc w:val="both"/>
        <w:rPr>
          <w:lang w:val="en-GB"/>
        </w:rPr>
      </w:pPr>
    </w:p>
    <w:p w:rsidR="00E949DB" w:rsidRDefault="00E949DB" w:rsidP="00C330E2">
      <w:pPr>
        <w:jc w:val="both"/>
        <w:rPr>
          <w:lang w:val="en-GB"/>
        </w:rPr>
      </w:pPr>
    </w:p>
    <w:p w:rsidR="00E949DB" w:rsidRDefault="00E949DB" w:rsidP="00C330E2">
      <w:pPr>
        <w:jc w:val="both"/>
        <w:rPr>
          <w:lang w:val="en-GB"/>
        </w:rPr>
      </w:pPr>
    </w:p>
    <w:p w:rsidR="00E949DB" w:rsidRDefault="00E949DB" w:rsidP="00C330E2">
      <w:pPr>
        <w:jc w:val="both"/>
        <w:rPr>
          <w:lang w:val="en-GB"/>
        </w:rPr>
      </w:pPr>
    </w:p>
    <w:p w:rsidR="00E949DB" w:rsidRDefault="00E949DB" w:rsidP="00C330E2">
      <w:pPr>
        <w:jc w:val="both"/>
        <w:rPr>
          <w:lang w:val="en-GB"/>
        </w:rPr>
      </w:pPr>
    </w:p>
    <w:p w:rsidR="00E949DB" w:rsidRDefault="00E949DB" w:rsidP="00C330E2">
      <w:pPr>
        <w:jc w:val="both"/>
        <w:rPr>
          <w:lang w:val="en-GB"/>
        </w:rPr>
      </w:pPr>
    </w:p>
    <w:p w:rsidR="00E949DB" w:rsidRPr="00C330E2" w:rsidRDefault="00E949DB" w:rsidP="00C330E2">
      <w:pPr>
        <w:jc w:val="both"/>
        <w:rPr>
          <w:lang w:val="en-GB"/>
        </w:rPr>
      </w:pPr>
    </w:p>
    <w:p w:rsidR="003E4252" w:rsidRPr="00C330E2" w:rsidRDefault="003E4252" w:rsidP="00C330E2">
      <w:pPr>
        <w:jc w:val="both"/>
        <w:rPr>
          <w:lang w:val="en-GB"/>
        </w:rPr>
      </w:pPr>
    </w:p>
    <w:p w:rsidR="00AE25AB" w:rsidRDefault="00AE25AB">
      <w:pPr>
        <w:tabs>
          <w:tab w:val="clear" w:pos="170"/>
          <w:tab w:val="clear" w:pos="680"/>
        </w:tabs>
        <w:spacing w:line="240" w:lineRule="auto"/>
      </w:pPr>
      <w:bookmarkStart w:id="18" w:name="_Toc425147976"/>
      <w:bookmarkStart w:id="19" w:name="_Toc425147984"/>
      <w:bookmarkStart w:id="20" w:name="_Toc425148019"/>
      <w:bookmarkStart w:id="21" w:name="_Toc425148021"/>
      <w:bookmarkStart w:id="22" w:name="_Toc425148029"/>
      <w:bookmarkStart w:id="23" w:name="_Toc425148031"/>
      <w:bookmarkStart w:id="24" w:name="_Toc425148033"/>
      <w:bookmarkStart w:id="25" w:name="_Toc426056828"/>
      <w:bookmarkStart w:id="26" w:name="_Toc426056830"/>
      <w:bookmarkStart w:id="27" w:name="_Toc426056840"/>
      <w:bookmarkStart w:id="28" w:name="_Toc426056842"/>
      <w:bookmarkStart w:id="29" w:name="_Toc426056844"/>
      <w:bookmarkStart w:id="30" w:name="_Toc429390393"/>
      <w:bookmarkStart w:id="31" w:name="_Toc429390395"/>
      <w:bookmarkStart w:id="32" w:name="_Toc429390405"/>
      <w:bookmarkStart w:id="33" w:name="_Toc429390407"/>
      <w:bookmarkStart w:id="34" w:name="_Toc429390409"/>
      <w:bookmarkStart w:id="35" w:name="_Toc429390442"/>
      <w:bookmarkStart w:id="36" w:name="_Toc429390444"/>
      <w:bookmarkStart w:id="37" w:name="_Toc429390454"/>
      <w:bookmarkStart w:id="38" w:name="_Toc429390456"/>
      <w:bookmarkStart w:id="39" w:name="_Toc429390458"/>
      <w:bookmarkStart w:id="40" w:name="_Toc429392116"/>
      <w:bookmarkStart w:id="41" w:name="_Toc429392117"/>
      <w:bookmarkStart w:id="42" w:name="_Toc429392124"/>
      <w:bookmarkStart w:id="43" w:name="_Toc429392125"/>
      <w:bookmarkStart w:id="44" w:name="_Toc429392126"/>
      <w:bookmarkStart w:id="45" w:name="_Toc429392154"/>
      <w:bookmarkStart w:id="46" w:name="_Toc429392155"/>
      <w:bookmarkStart w:id="47" w:name="_Toc429392162"/>
      <w:bookmarkStart w:id="48" w:name="_Toc429392163"/>
      <w:bookmarkStart w:id="49" w:name="_Toc429392164"/>
      <w:bookmarkStart w:id="50" w:name="_Toc429392166"/>
      <w:bookmarkStart w:id="51" w:name="_Toc429392167"/>
      <w:bookmarkStart w:id="52" w:name="_Toc429392174"/>
      <w:bookmarkStart w:id="53" w:name="_Toc429392175"/>
      <w:bookmarkStart w:id="54" w:name="_Toc429392176"/>
      <w:bookmarkStart w:id="55" w:name="_Toc434328934"/>
      <w:bookmarkStart w:id="56" w:name="_Toc434328935"/>
      <w:bookmarkStart w:id="57" w:name="_Toc434328942"/>
      <w:bookmarkStart w:id="58" w:name="_Toc434328943"/>
      <w:bookmarkStart w:id="59" w:name="_Toc434328944"/>
      <w:r>
        <w:br w:type="page"/>
      </w:r>
    </w:p>
    <w:p w:rsidR="003E4252" w:rsidRPr="00004D1D" w:rsidRDefault="003E4252" w:rsidP="003E4252">
      <w:pPr>
        <w:pStyle w:val="Kop1"/>
        <w:numPr>
          <w:ilvl w:val="0"/>
          <w:numId w:val="0"/>
        </w:numPr>
        <w:ind w:left="680" w:hanging="680"/>
      </w:pPr>
      <w:bookmarkStart w:id="60" w:name="_Toc447108890"/>
      <w:r>
        <w:t xml:space="preserve">A. </w:t>
      </w:r>
      <w:r w:rsidRPr="00004D1D">
        <w:t>Dissemination documents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3E4252" w:rsidRPr="00D01077" w:rsidRDefault="003E4252" w:rsidP="003E4252">
      <w:pPr>
        <w:pStyle w:val="Body"/>
        <w:rPr>
          <w:rFonts w:ascii="Verdana" w:hAnsi="Verdana"/>
          <w:b/>
          <w:sz w:val="24"/>
          <w:lang w:val="fr-FR"/>
        </w:rPr>
      </w:pPr>
      <w:r w:rsidRPr="00D01077">
        <w:rPr>
          <w:rFonts w:ascii="Verdana" w:hAnsi="Verdana"/>
          <w:b/>
          <w:sz w:val="24"/>
          <w:lang w:val="fr-FR"/>
        </w:rPr>
        <w:t>Flyer</w:t>
      </w:r>
    </w:p>
    <w:p w:rsidR="003E4252" w:rsidRPr="003E4252" w:rsidRDefault="003E4252" w:rsidP="003E4252">
      <w:pPr>
        <w:pStyle w:val="Body"/>
        <w:rPr>
          <w:lang w:val="fr-FR"/>
        </w:rPr>
      </w:pPr>
    </w:p>
    <w:p w:rsidR="003E4252" w:rsidRPr="003E4252" w:rsidRDefault="003E4252" w:rsidP="003E4252">
      <w:pPr>
        <w:pStyle w:val="Body"/>
        <w:rPr>
          <w:lang w:val="fr-FR"/>
        </w:rPr>
      </w:pPr>
      <w:r w:rsidRPr="00004D1D">
        <w:rPr>
          <w:noProof/>
          <w:lang w:val="nl-NL" w:eastAsia="nl-NL"/>
        </w:rPr>
        <w:drawing>
          <wp:inline distT="0" distB="0" distL="0" distR="0" wp14:anchorId="230DDBBE" wp14:editId="65B3D98B">
            <wp:extent cx="4531360" cy="6337835"/>
            <wp:effectExtent l="19050" t="19050" r="2159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6453" cy="6372932"/>
                    </a:xfrm>
                    <a:prstGeom prst="rect">
                      <a:avLst/>
                    </a:prstGeom>
                    <a:noFill/>
                    <a:ln w="6350">
                      <a:solidFill>
                        <a:schemeClr val="tx1"/>
                      </a:solidFill>
                    </a:ln>
                  </pic:spPr>
                </pic:pic>
              </a:graphicData>
            </a:graphic>
          </wp:inline>
        </w:drawing>
      </w:r>
    </w:p>
    <w:p w:rsidR="003E4252" w:rsidRPr="003E4252" w:rsidRDefault="003E4252" w:rsidP="003E4252">
      <w:pPr>
        <w:pStyle w:val="Body"/>
        <w:rPr>
          <w:color w:val="FF0000"/>
          <w:lang w:val="fr-FR"/>
        </w:rPr>
      </w:pPr>
    </w:p>
    <w:p w:rsidR="003E4252" w:rsidRPr="003E4252" w:rsidRDefault="003E4252" w:rsidP="003E4252">
      <w:pPr>
        <w:pStyle w:val="Body"/>
        <w:rPr>
          <w:color w:val="FF0000"/>
          <w:lang w:val="fr-FR"/>
        </w:rPr>
      </w:pPr>
    </w:p>
    <w:p w:rsidR="003E4252" w:rsidRPr="00D01077" w:rsidRDefault="003E4252" w:rsidP="003E4252">
      <w:pPr>
        <w:pStyle w:val="Body"/>
        <w:rPr>
          <w:rFonts w:ascii="Verdana" w:hAnsi="Verdana"/>
          <w:b/>
          <w:sz w:val="24"/>
          <w:lang w:val="fr-FR"/>
        </w:rPr>
      </w:pPr>
      <w:r w:rsidRPr="00D01077">
        <w:rPr>
          <w:rFonts w:ascii="Verdana" w:hAnsi="Verdana"/>
          <w:b/>
          <w:sz w:val="24"/>
          <w:lang w:val="fr-FR"/>
        </w:rPr>
        <w:t>Presentation</w:t>
      </w:r>
    </w:p>
    <w:p w:rsidR="003E4252" w:rsidRPr="003E4252" w:rsidRDefault="003E4252" w:rsidP="003E4252">
      <w:pPr>
        <w:pStyle w:val="Body"/>
        <w:rPr>
          <w:rFonts w:ascii="Verdana" w:hAnsi="Verdana"/>
          <w:sz w:val="24"/>
          <w:lang w:val="fr-FR"/>
        </w:rPr>
      </w:pPr>
    </w:p>
    <w:p w:rsidR="003E4252" w:rsidRPr="003E4252" w:rsidRDefault="003E4252" w:rsidP="003E4252">
      <w:pPr>
        <w:pStyle w:val="Body"/>
        <w:rPr>
          <w:b/>
          <w:lang w:val="fr-FR"/>
        </w:rPr>
      </w:pPr>
      <w:r w:rsidRPr="00004D1D">
        <w:rPr>
          <w:b/>
          <w:noProof/>
          <w:lang w:val="nl-NL" w:eastAsia="nl-NL"/>
        </w:rPr>
        <w:drawing>
          <wp:inline distT="0" distB="0" distL="0" distR="0" wp14:anchorId="4C437F9D" wp14:editId="548382E6">
            <wp:extent cx="4066139" cy="700370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3568" cy="6999278"/>
                    </a:xfrm>
                    <a:prstGeom prst="rect">
                      <a:avLst/>
                    </a:prstGeom>
                    <a:noFill/>
                    <a:ln>
                      <a:noFill/>
                    </a:ln>
                  </pic:spPr>
                </pic:pic>
              </a:graphicData>
            </a:graphic>
          </wp:inline>
        </w:drawing>
      </w:r>
    </w:p>
    <w:p w:rsidR="003E4252" w:rsidRPr="003E4252" w:rsidRDefault="003E4252" w:rsidP="003E4252">
      <w:pPr>
        <w:pStyle w:val="Body"/>
        <w:rPr>
          <w:b/>
          <w:lang w:val="fr-FR"/>
        </w:rPr>
      </w:pPr>
      <w:r w:rsidRPr="00004D1D">
        <w:rPr>
          <w:b/>
          <w:noProof/>
          <w:lang w:val="nl-NL" w:eastAsia="nl-NL"/>
        </w:rPr>
        <w:drawing>
          <wp:inline distT="0" distB="0" distL="0" distR="0" wp14:anchorId="2699ED3D" wp14:editId="7A2F0FBA">
            <wp:extent cx="4493056" cy="768096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3056" cy="7680960"/>
                    </a:xfrm>
                    <a:prstGeom prst="rect">
                      <a:avLst/>
                    </a:prstGeom>
                    <a:noFill/>
                    <a:ln>
                      <a:noFill/>
                    </a:ln>
                  </pic:spPr>
                </pic:pic>
              </a:graphicData>
            </a:graphic>
          </wp:inline>
        </w:drawing>
      </w:r>
    </w:p>
    <w:p w:rsidR="003E4252" w:rsidRPr="003E4252" w:rsidRDefault="003E4252" w:rsidP="003E4252">
      <w:pPr>
        <w:pStyle w:val="Body"/>
        <w:rPr>
          <w:b/>
          <w:lang w:val="fr-FR"/>
        </w:rPr>
      </w:pPr>
      <w:r w:rsidRPr="00004D1D">
        <w:rPr>
          <w:b/>
          <w:noProof/>
          <w:lang w:val="nl-NL" w:eastAsia="nl-NL"/>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377690" cy="752602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4945" cy="7538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4252" w:rsidRPr="003E4252" w:rsidRDefault="003E4252" w:rsidP="003E4252">
      <w:pPr>
        <w:pStyle w:val="Body"/>
        <w:rPr>
          <w:b/>
          <w:lang w:val="fr-FR"/>
        </w:rPr>
      </w:pPr>
      <w:r w:rsidRPr="00004D1D">
        <w:rPr>
          <w:b/>
          <w:noProof/>
          <w:lang w:val="nl-NL" w:eastAsia="nl-NL"/>
        </w:rPr>
        <w:drawing>
          <wp:inline distT="0" distB="0" distL="0" distR="0" wp14:anchorId="4ECEE04C" wp14:editId="717F99C6">
            <wp:extent cx="4402283" cy="7579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9488" cy="7574548"/>
                    </a:xfrm>
                    <a:prstGeom prst="rect">
                      <a:avLst/>
                    </a:prstGeom>
                    <a:noFill/>
                    <a:ln>
                      <a:noFill/>
                    </a:ln>
                  </pic:spPr>
                </pic:pic>
              </a:graphicData>
            </a:graphic>
          </wp:inline>
        </w:drawing>
      </w:r>
    </w:p>
    <w:p w:rsidR="003E4252" w:rsidRPr="003E4252" w:rsidRDefault="003E4252" w:rsidP="003E4252">
      <w:pPr>
        <w:pStyle w:val="Body"/>
        <w:rPr>
          <w:b/>
          <w:lang w:val="fr-FR"/>
        </w:rPr>
      </w:pPr>
      <w:r w:rsidRPr="00004D1D">
        <w:rPr>
          <w:b/>
          <w:noProof/>
          <w:lang w:val="nl-NL" w:eastAsia="nl-NL"/>
        </w:rPr>
        <w:drawing>
          <wp:inline distT="0" distB="0" distL="0" distR="0" wp14:anchorId="4697CE99" wp14:editId="48DDACC8">
            <wp:extent cx="4267200" cy="731489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5681" cy="7312290"/>
                    </a:xfrm>
                    <a:prstGeom prst="rect">
                      <a:avLst/>
                    </a:prstGeom>
                    <a:noFill/>
                    <a:ln>
                      <a:noFill/>
                    </a:ln>
                  </pic:spPr>
                </pic:pic>
              </a:graphicData>
            </a:graphic>
          </wp:inline>
        </w:drawing>
      </w:r>
    </w:p>
    <w:p w:rsidR="003E4252" w:rsidRPr="003E4252" w:rsidRDefault="003E4252" w:rsidP="003E4252">
      <w:pPr>
        <w:pStyle w:val="Body"/>
        <w:rPr>
          <w:b/>
          <w:lang w:val="fr-FR"/>
        </w:rPr>
      </w:pPr>
      <w:r w:rsidRPr="00004D1D">
        <w:rPr>
          <w:b/>
          <w:noProof/>
          <w:lang w:val="nl-NL" w:eastAsia="nl-NL"/>
        </w:rPr>
        <w:drawing>
          <wp:inline distT="0" distB="0" distL="0" distR="0" wp14:anchorId="0704AE43" wp14:editId="599DE847">
            <wp:extent cx="4260654" cy="733552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6120" cy="7327714"/>
                    </a:xfrm>
                    <a:prstGeom prst="rect">
                      <a:avLst/>
                    </a:prstGeom>
                    <a:noFill/>
                    <a:ln>
                      <a:noFill/>
                    </a:ln>
                  </pic:spPr>
                </pic:pic>
              </a:graphicData>
            </a:graphic>
          </wp:inline>
        </w:drawing>
      </w:r>
    </w:p>
    <w:p w:rsidR="003E4252" w:rsidRPr="003E4252" w:rsidRDefault="003E4252" w:rsidP="003E4252">
      <w:pPr>
        <w:pStyle w:val="Body"/>
        <w:rPr>
          <w:b/>
          <w:lang w:val="fr-FR"/>
        </w:rPr>
      </w:pPr>
      <w:r w:rsidRPr="00004D1D">
        <w:rPr>
          <w:b/>
          <w:noProof/>
          <w:lang w:val="nl-NL" w:eastAsia="nl-NL"/>
        </w:rPr>
        <w:drawing>
          <wp:inline distT="0" distB="0" distL="0" distR="0" wp14:anchorId="776D95CE" wp14:editId="42190775">
            <wp:extent cx="4332583" cy="741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5108" cy="7404004"/>
                    </a:xfrm>
                    <a:prstGeom prst="rect">
                      <a:avLst/>
                    </a:prstGeom>
                    <a:noFill/>
                    <a:ln>
                      <a:noFill/>
                    </a:ln>
                  </pic:spPr>
                </pic:pic>
              </a:graphicData>
            </a:graphic>
          </wp:inline>
        </w:drawing>
      </w:r>
    </w:p>
    <w:p w:rsidR="003E4252" w:rsidRPr="003E4252" w:rsidRDefault="003E4252" w:rsidP="003E4252">
      <w:pPr>
        <w:pStyle w:val="Body"/>
        <w:rPr>
          <w:b/>
          <w:lang w:val="fr-FR"/>
        </w:rPr>
      </w:pPr>
      <w:r w:rsidRPr="00004D1D">
        <w:rPr>
          <w:b/>
          <w:noProof/>
          <w:lang w:val="nl-NL" w:eastAsia="nl-NL"/>
        </w:rPr>
        <w:drawing>
          <wp:inline distT="0" distB="0" distL="0" distR="0" wp14:anchorId="0F2DE9E8" wp14:editId="6F730FDE">
            <wp:extent cx="4387848" cy="7518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4355" cy="7512415"/>
                    </a:xfrm>
                    <a:prstGeom prst="rect">
                      <a:avLst/>
                    </a:prstGeom>
                    <a:noFill/>
                    <a:ln>
                      <a:noFill/>
                    </a:ln>
                  </pic:spPr>
                </pic:pic>
              </a:graphicData>
            </a:graphic>
          </wp:inline>
        </w:drawing>
      </w:r>
    </w:p>
    <w:p w:rsidR="003E4252" w:rsidRPr="003E4252" w:rsidRDefault="003E4252" w:rsidP="003E4252">
      <w:pPr>
        <w:pStyle w:val="Body"/>
        <w:rPr>
          <w:b/>
          <w:lang w:val="fr-FR"/>
        </w:rPr>
      </w:pPr>
      <w:r w:rsidRPr="00004D1D">
        <w:rPr>
          <w:b/>
          <w:noProof/>
          <w:lang w:val="nl-NL" w:eastAsia="nl-NL"/>
        </w:rPr>
        <w:drawing>
          <wp:inline distT="0" distB="0" distL="0" distR="0" wp14:anchorId="7AE035FF" wp14:editId="06847884">
            <wp:extent cx="4348480" cy="38566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b="48261"/>
                    <a:stretch/>
                  </pic:blipFill>
                  <pic:spPr bwMode="auto">
                    <a:xfrm>
                      <a:off x="0" y="0"/>
                      <a:ext cx="4354930" cy="3862362"/>
                    </a:xfrm>
                    <a:prstGeom prst="rect">
                      <a:avLst/>
                    </a:prstGeom>
                    <a:noFill/>
                    <a:ln>
                      <a:noFill/>
                    </a:ln>
                    <a:extLst>
                      <a:ext uri="{53640926-AAD7-44D8-BBD7-CCE9431645EC}">
                        <a14:shadowObscured xmlns:a14="http://schemas.microsoft.com/office/drawing/2010/main"/>
                      </a:ext>
                    </a:extLst>
                  </pic:spPr>
                </pic:pic>
              </a:graphicData>
            </a:graphic>
          </wp:inline>
        </w:drawing>
      </w:r>
    </w:p>
    <w:p w:rsidR="003E4252" w:rsidRPr="003E4252" w:rsidRDefault="003E4252" w:rsidP="003E4252">
      <w:pPr>
        <w:pStyle w:val="Body"/>
        <w:rPr>
          <w:lang w:val="fr-FR"/>
        </w:rPr>
      </w:pPr>
    </w:p>
    <w:p w:rsidR="00C330E2" w:rsidRPr="003E4252" w:rsidRDefault="00C330E2" w:rsidP="00C330E2">
      <w:pPr>
        <w:jc w:val="both"/>
      </w:pPr>
    </w:p>
    <w:p w:rsidR="00C330E2" w:rsidRPr="003E4252" w:rsidRDefault="00C330E2" w:rsidP="00C330E2">
      <w:pPr>
        <w:jc w:val="both"/>
      </w:pPr>
    </w:p>
    <w:p w:rsidR="00C330E2" w:rsidRPr="003E4252" w:rsidRDefault="00C330E2" w:rsidP="00C330E2">
      <w:pPr>
        <w:jc w:val="both"/>
      </w:pPr>
    </w:p>
    <w:sectPr w:rsidR="00C330E2" w:rsidRPr="003E4252" w:rsidSect="00D15354">
      <w:headerReference w:type="default" r:id="rId21"/>
      <w:footerReference w:type="default" r:id="rId22"/>
      <w:footerReference w:type="first" r:id="rId23"/>
      <w:pgSz w:w="11900" w:h="16840"/>
      <w:pgMar w:top="3289" w:right="1418" w:bottom="1134" w:left="1418" w:header="709"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289" w:rsidRDefault="008A5289" w:rsidP="001254C3">
      <w:r>
        <w:separator/>
      </w:r>
    </w:p>
  </w:endnote>
  <w:endnote w:type="continuationSeparator" w:id="0">
    <w:p w:rsidR="008A5289" w:rsidRDefault="008A5289" w:rsidP="00125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989258"/>
      <w:docPartObj>
        <w:docPartGallery w:val="Page Numbers (Bottom of Page)"/>
        <w:docPartUnique/>
      </w:docPartObj>
    </w:sdtPr>
    <w:sdtEndPr/>
    <w:sdtContent>
      <w:sdt>
        <w:sdtPr>
          <w:id w:val="-1599555190"/>
          <w:docPartObj>
            <w:docPartGallery w:val="Page Numbers (Top of Page)"/>
            <w:docPartUnique/>
          </w:docPartObj>
        </w:sdtPr>
        <w:sdtEndPr/>
        <w:sdtContent>
          <w:p w:rsidR="00D15354" w:rsidRPr="009E1A32" w:rsidRDefault="00D15354" w:rsidP="001254C3">
            <w:pPr>
              <w:pStyle w:val="Voettekst"/>
            </w:pPr>
            <w:r w:rsidRPr="009E1A32">
              <w:t xml:space="preserve">Pagina </w:t>
            </w:r>
            <w:r w:rsidRPr="009E1A32">
              <w:fldChar w:fldCharType="begin"/>
            </w:r>
            <w:r w:rsidRPr="009E1A32">
              <w:instrText>PAGE</w:instrText>
            </w:r>
            <w:r w:rsidRPr="009E1A32">
              <w:fldChar w:fldCharType="separate"/>
            </w:r>
            <w:r w:rsidR="006C18BA">
              <w:rPr>
                <w:noProof/>
              </w:rPr>
              <w:t>2</w:t>
            </w:r>
            <w:r w:rsidRPr="009E1A32">
              <w:fldChar w:fldCharType="end"/>
            </w:r>
            <w:r w:rsidRPr="009E1A32">
              <w:t xml:space="preserve"> van </w:t>
            </w:r>
            <w:r w:rsidRPr="009E1A32">
              <w:fldChar w:fldCharType="begin"/>
            </w:r>
            <w:r w:rsidRPr="009E1A32">
              <w:instrText>NUMPAGES</w:instrText>
            </w:r>
            <w:r w:rsidRPr="009E1A32">
              <w:fldChar w:fldCharType="separate"/>
            </w:r>
            <w:r w:rsidR="006C18BA">
              <w:rPr>
                <w:noProof/>
              </w:rPr>
              <w:t>24</w:t>
            </w:r>
            <w:r w:rsidRPr="009E1A32">
              <w:fldChar w:fldCharType="end"/>
            </w:r>
          </w:p>
        </w:sdtContent>
      </w:sdt>
    </w:sdtContent>
  </w:sdt>
  <w:p w:rsidR="00D15354" w:rsidRPr="009E1A32" w:rsidRDefault="00D15354" w:rsidP="001254C3">
    <w:pPr>
      <w:pStyle w:val="13Voetregel"/>
    </w:pPr>
  </w:p>
  <w:p w:rsidR="00D15354" w:rsidRDefault="00D15354" w:rsidP="001254C3"/>
  <w:p w:rsidR="00D15354" w:rsidRDefault="00D15354" w:rsidP="001254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656814"/>
      <w:docPartObj>
        <w:docPartGallery w:val="Page Numbers (Bottom of Page)"/>
        <w:docPartUnique/>
      </w:docPartObj>
    </w:sdtPr>
    <w:sdtEndPr/>
    <w:sdtContent>
      <w:sdt>
        <w:sdtPr>
          <w:id w:val="-1769616900"/>
          <w:docPartObj>
            <w:docPartGallery w:val="Page Numbers (Top of Page)"/>
            <w:docPartUnique/>
          </w:docPartObj>
        </w:sdtPr>
        <w:sdtEndPr/>
        <w:sdtContent>
          <w:p w:rsidR="00D15354" w:rsidRPr="001254C3" w:rsidRDefault="00D15354" w:rsidP="001254C3">
            <w:pPr>
              <w:pStyle w:val="Voettekst"/>
              <w:rPr>
                <w:lang w:val="nl-NL"/>
              </w:rPr>
            </w:pPr>
            <w:r w:rsidRPr="001254C3">
              <w:rPr>
                <w:lang w:val="nl-NL"/>
              </w:rPr>
              <w:t xml:space="preserve">DV-20-01 (HetD), Version </w:t>
            </w:r>
            <w:r>
              <w:rPr>
                <w:lang w:val="nl-NL"/>
              </w:rPr>
              <w:t>3</w:t>
            </w:r>
            <w:r w:rsidRPr="001254C3">
              <w:rPr>
                <w:lang w:val="nl-NL"/>
              </w:rPr>
              <w:t xml:space="preserve"> of 151123</w:t>
            </w:r>
            <w:r w:rsidRPr="001254C3">
              <w:rPr>
                <w:lang w:val="nl-NL"/>
              </w:rPr>
              <w:tab/>
            </w:r>
            <w:r w:rsidRPr="001254C3">
              <w:rPr>
                <w:lang w:val="nl-NL"/>
              </w:rPr>
              <w:tab/>
              <w:t xml:space="preserve">Pagina </w:t>
            </w:r>
            <w:r w:rsidRPr="009E1A32">
              <w:rPr>
                <w:b/>
                <w:bCs/>
              </w:rPr>
              <w:fldChar w:fldCharType="begin"/>
            </w:r>
            <w:r w:rsidRPr="001254C3">
              <w:rPr>
                <w:b/>
                <w:bCs/>
                <w:lang w:val="nl-NL"/>
              </w:rPr>
              <w:instrText>PAGE</w:instrText>
            </w:r>
            <w:r w:rsidRPr="009E1A32">
              <w:rPr>
                <w:b/>
                <w:bCs/>
              </w:rPr>
              <w:fldChar w:fldCharType="separate"/>
            </w:r>
            <w:r w:rsidR="006C18BA">
              <w:rPr>
                <w:b/>
                <w:bCs/>
                <w:noProof/>
                <w:lang w:val="nl-NL"/>
              </w:rPr>
              <w:t>1</w:t>
            </w:r>
            <w:r w:rsidRPr="009E1A32">
              <w:rPr>
                <w:b/>
                <w:bCs/>
              </w:rPr>
              <w:fldChar w:fldCharType="end"/>
            </w:r>
            <w:r w:rsidRPr="001254C3">
              <w:rPr>
                <w:lang w:val="nl-NL"/>
              </w:rPr>
              <w:t xml:space="preserve"> van </w:t>
            </w:r>
            <w:r w:rsidRPr="009E1A32">
              <w:rPr>
                <w:b/>
                <w:bCs/>
              </w:rPr>
              <w:fldChar w:fldCharType="begin"/>
            </w:r>
            <w:r w:rsidRPr="001254C3">
              <w:rPr>
                <w:b/>
                <w:bCs/>
                <w:lang w:val="nl-NL"/>
              </w:rPr>
              <w:instrText>NUMPAGES</w:instrText>
            </w:r>
            <w:r w:rsidRPr="009E1A32">
              <w:rPr>
                <w:b/>
                <w:bCs/>
              </w:rPr>
              <w:fldChar w:fldCharType="separate"/>
            </w:r>
            <w:r w:rsidR="006C18BA">
              <w:rPr>
                <w:b/>
                <w:bCs/>
                <w:noProof/>
                <w:lang w:val="nl-NL"/>
              </w:rPr>
              <w:t>24</w:t>
            </w:r>
            <w:r w:rsidRPr="009E1A32">
              <w:rPr>
                <w:b/>
                <w:bCs/>
              </w:rPr>
              <w:fldChar w:fldCharType="end"/>
            </w:r>
          </w:p>
        </w:sdtContent>
      </w:sdt>
    </w:sdtContent>
  </w:sdt>
  <w:p w:rsidR="00D15354" w:rsidRPr="001254C3" w:rsidRDefault="00D15354" w:rsidP="001254C3">
    <w:pPr>
      <w:pStyle w:val="Voettekst"/>
      <w:rPr>
        <w:lang w:val="nl-NL"/>
      </w:rPr>
    </w:pPr>
  </w:p>
  <w:p w:rsidR="00D15354" w:rsidRPr="001254C3" w:rsidRDefault="00D15354" w:rsidP="001254C3">
    <w:pPr>
      <w:rPr>
        <w:lang w:val="nl-NL"/>
      </w:rPr>
    </w:pPr>
  </w:p>
  <w:p w:rsidR="00D15354" w:rsidRPr="001254C3" w:rsidRDefault="00D15354" w:rsidP="001254C3">
    <w:pPr>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289" w:rsidRPr="00D5330C" w:rsidRDefault="008A5289" w:rsidP="001254C3"/>
  </w:footnote>
  <w:footnote w:type="continuationSeparator" w:id="0">
    <w:p w:rsidR="008A5289" w:rsidRPr="00F75D04" w:rsidRDefault="008A5289" w:rsidP="001254C3">
      <w:r w:rsidRPr="00F75D04">
        <w:rPr>
          <w:noProof/>
          <w:lang w:val="nl-NL" w:eastAsia="nl-NL"/>
        </w:rPr>
        <w:drawing>
          <wp:inline distT="0" distB="0" distL="0" distR="0" wp14:anchorId="3A94B07E" wp14:editId="7543979B">
            <wp:extent cx="5762625" cy="95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9525"/>
                    </a:xfrm>
                    <a:prstGeom prst="rect">
                      <a:avLst/>
                    </a:prstGeom>
                    <a:noFill/>
                    <a:ln>
                      <a:noFill/>
                    </a:ln>
                  </pic:spPr>
                </pic:pic>
              </a:graphicData>
            </a:graphic>
          </wp:inline>
        </w:draw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354" w:rsidRPr="009E1A32" w:rsidRDefault="00D15354" w:rsidP="001254C3">
    <w:pPr>
      <w:pStyle w:val="Koptekst"/>
    </w:pPr>
    <w:r w:rsidRPr="009E1A32">
      <w:rPr>
        <w:noProof/>
        <w:lang w:val="nl-NL" w:eastAsia="nl-NL"/>
      </w:rPr>
      <w:drawing>
        <wp:anchor distT="0" distB="0" distL="114300" distR="114300" simplePos="0" relativeHeight="251658240" behindDoc="1" locked="0" layoutInCell="1" allowOverlap="1" wp14:anchorId="545097F4" wp14:editId="32E25464">
          <wp:simplePos x="0" y="0"/>
          <wp:positionH relativeFrom="page">
            <wp:posOffset>5922645</wp:posOffset>
          </wp:positionH>
          <wp:positionV relativeFrom="page">
            <wp:posOffset>252095</wp:posOffset>
          </wp:positionV>
          <wp:extent cx="1295400" cy="1549400"/>
          <wp:effectExtent l="0" t="0" r="0" b="0"/>
          <wp:wrapNone/>
          <wp:docPr id="8" name="Afbeelding 8" descr="Logo ISPT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SPT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354" w:rsidRDefault="00D15354" w:rsidP="001254C3"/>
  <w:p w:rsidR="00D15354" w:rsidRDefault="00D15354" w:rsidP="001254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6348F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6182E8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8D248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41261D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A908F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4B6F9F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9ADA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2E33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652777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F14830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182C4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2E1D94"/>
    <w:multiLevelType w:val="multilevel"/>
    <w:tmpl w:val="7B725878"/>
    <w:lvl w:ilvl="0">
      <w:start w:val="1"/>
      <w:numFmt w:val="decimal"/>
      <w:lvlText w:val="%1."/>
      <w:lvlJc w:val="left"/>
      <w:pPr>
        <w:tabs>
          <w:tab w:val="num" w:pos="680"/>
        </w:tabs>
        <w:ind w:left="680" w:hanging="680"/>
      </w:pPr>
      <w:rPr>
        <w:rFonts w:hint="default"/>
        <w:sz w:val="50"/>
      </w:rPr>
    </w:lvl>
    <w:lvl w:ilvl="1">
      <w:start w:val="1"/>
      <w:numFmt w:val="decimal"/>
      <w:lvlText w:val="%1.%2"/>
      <w:lvlJc w:val="left"/>
      <w:pPr>
        <w:tabs>
          <w:tab w:val="num" w:pos="680"/>
        </w:tabs>
        <w:ind w:left="680" w:hanging="680"/>
      </w:pPr>
      <w:rPr>
        <w:rFonts w:ascii="Verdana" w:hAnsi="Verdana" w:hint="default"/>
        <w:b w:val="0"/>
        <w:i w:val="0"/>
        <w:sz w:val="34"/>
      </w:rPr>
    </w:lvl>
    <w:lvl w:ilvl="2">
      <w:start w:val="1"/>
      <w:numFmt w:val="decimal"/>
      <w:lvlText w:val="%1.%2.%3"/>
      <w:lvlJc w:val="left"/>
      <w:pPr>
        <w:tabs>
          <w:tab w:val="num" w:pos="680"/>
        </w:tabs>
        <w:ind w:left="680" w:hanging="680"/>
      </w:pPr>
      <w:rPr>
        <w:rFonts w:ascii="Verdana" w:hAnsi="Verdana" w:hint="default"/>
        <w:b/>
        <w:i w:val="0"/>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005C7672"/>
    <w:multiLevelType w:val="multilevel"/>
    <w:tmpl w:val="48C88D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3D27BA"/>
    <w:multiLevelType w:val="multilevel"/>
    <w:tmpl w:val="7B725878"/>
    <w:lvl w:ilvl="0">
      <w:start w:val="1"/>
      <w:numFmt w:val="decimal"/>
      <w:lvlText w:val="%1."/>
      <w:lvlJc w:val="left"/>
      <w:pPr>
        <w:tabs>
          <w:tab w:val="num" w:pos="1400"/>
        </w:tabs>
        <w:ind w:left="1400" w:hanging="680"/>
      </w:pPr>
      <w:rPr>
        <w:rFonts w:hint="default"/>
        <w:sz w:val="50"/>
      </w:rPr>
    </w:lvl>
    <w:lvl w:ilvl="1">
      <w:start w:val="1"/>
      <w:numFmt w:val="decimal"/>
      <w:lvlText w:val="%1.%2"/>
      <w:lvlJc w:val="left"/>
      <w:pPr>
        <w:tabs>
          <w:tab w:val="num" w:pos="1400"/>
        </w:tabs>
        <w:ind w:left="1400" w:hanging="680"/>
      </w:pPr>
      <w:rPr>
        <w:rFonts w:ascii="Verdana" w:hAnsi="Verdana" w:hint="default"/>
        <w:b w:val="0"/>
        <w:i w:val="0"/>
        <w:sz w:val="34"/>
      </w:rPr>
    </w:lvl>
    <w:lvl w:ilvl="2">
      <w:start w:val="1"/>
      <w:numFmt w:val="decimal"/>
      <w:lvlText w:val="%1.%2.%3"/>
      <w:lvlJc w:val="left"/>
      <w:pPr>
        <w:tabs>
          <w:tab w:val="num" w:pos="1400"/>
        </w:tabs>
        <w:ind w:left="1400" w:hanging="680"/>
      </w:pPr>
      <w:rPr>
        <w:rFonts w:ascii="Verdana" w:hAnsi="Verdana" w:hint="default"/>
        <w:b/>
        <w:i w:val="0"/>
        <w:sz w:val="22"/>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4" w15:restartNumberingAfterBreak="0">
    <w:nsid w:val="055D5F8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AE621E"/>
    <w:multiLevelType w:val="hybridMultilevel"/>
    <w:tmpl w:val="351E1CA6"/>
    <w:lvl w:ilvl="0" w:tplc="0EA2C2FE">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D301B6B"/>
    <w:multiLevelType w:val="multilevel"/>
    <w:tmpl w:val="8DFC9392"/>
    <w:lvl w:ilvl="0">
      <w:start w:val="1"/>
      <w:numFmt w:val="upperLetter"/>
      <w:pStyle w:val="BijlageHeader"/>
      <w:lvlText w:val="%1"/>
      <w:lvlJc w:val="left"/>
      <w:pPr>
        <w:tabs>
          <w:tab w:val="num" w:pos="432"/>
        </w:tabs>
        <w:ind w:left="432" w:hanging="432"/>
      </w:pPr>
      <w:rPr>
        <w:rFonts w:hint="default"/>
      </w:rPr>
    </w:lvl>
    <w:lvl w:ilvl="1">
      <w:start w:val="1"/>
      <w:numFmt w:val="decimal"/>
      <w:pStyle w:val="BijlageHeader2"/>
      <w:lvlText w:val="%1.%2"/>
      <w:lvlJc w:val="left"/>
      <w:pPr>
        <w:tabs>
          <w:tab w:val="num" w:pos="576"/>
        </w:tabs>
        <w:ind w:left="576" w:hanging="576"/>
      </w:pPr>
      <w:rPr>
        <w:rFonts w:hint="default"/>
      </w:rPr>
    </w:lvl>
    <w:lvl w:ilvl="2">
      <w:start w:val="1"/>
      <w:numFmt w:val="decimal"/>
      <w:pStyle w:val="BijlageHeader3"/>
      <w:lvlText w:val="%1.%2.%3"/>
      <w:lvlJc w:val="left"/>
      <w:pPr>
        <w:tabs>
          <w:tab w:val="num" w:pos="720"/>
        </w:tabs>
        <w:ind w:left="720" w:hanging="720"/>
      </w:pPr>
      <w:rPr>
        <w:rFonts w:hint="default"/>
      </w:rPr>
    </w:lvl>
    <w:lvl w:ilvl="3">
      <w:start w:val="1"/>
      <w:numFmt w:val="decimal"/>
      <w:pStyle w:val="BijlageHeader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upperLetter"/>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5535636"/>
    <w:multiLevelType w:val="multilevel"/>
    <w:tmpl w:val="8506AF8A"/>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tabs>
          <w:tab w:val="num" w:pos="794"/>
        </w:tabs>
        <w:ind w:left="794" w:hanging="227"/>
      </w:pPr>
      <w:rPr>
        <w:rFonts w:ascii="Symbol" w:hAnsi="Symbol" w:hint="default"/>
      </w:rPr>
    </w:lvl>
    <w:lvl w:ilvl="3">
      <w:start w:val="1"/>
      <w:numFmt w:val="bullet"/>
      <w:lvlText w:val=""/>
      <w:lvlJc w:val="left"/>
      <w:pPr>
        <w:tabs>
          <w:tab w:val="num" w:pos="1021"/>
        </w:tabs>
        <w:ind w:left="1021" w:hanging="227"/>
      </w:pPr>
      <w:rPr>
        <w:rFonts w:ascii="Symbol" w:hAnsi="Symbol" w:hint="default"/>
      </w:rPr>
    </w:lvl>
    <w:lvl w:ilvl="4">
      <w:start w:val="1"/>
      <w:numFmt w:val="bullet"/>
      <w:lvlText w:val=""/>
      <w:lvlJc w:val="left"/>
      <w:pPr>
        <w:tabs>
          <w:tab w:val="num" w:pos="1247"/>
        </w:tabs>
        <w:ind w:left="1247" w:hanging="227"/>
      </w:pPr>
      <w:rPr>
        <w:rFonts w:ascii="Symbol" w:hAnsi="Symbol" w:hint="default"/>
      </w:rPr>
    </w:lvl>
    <w:lvl w:ilvl="5">
      <w:start w:val="1"/>
      <w:numFmt w:val="bullet"/>
      <w:lvlText w:val=""/>
      <w:lvlJc w:val="left"/>
      <w:pPr>
        <w:tabs>
          <w:tab w:val="num" w:pos="1474"/>
        </w:tabs>
        <w:ind w:left="1474" w:hanging="227"/>
      </w:pPr>
      <w:rPr>
        <w:rFonts w:ascii="Symbol" w:hAnsi="Symbol" w:hint="default"/>
      </w:rPr>
    </w:lvl>
    <w:lvl w:ilvl="6">
      <w:start w:val="1"/>
      <w:numFmt w:val="bullet"/>
      <w:lvlText w:val=""/>
      <w:lvlJc w:val="left"/>
      <w:pPr>
        <w:tabs>
          <w:tab w:val="num" w:pos="1701"/>
        </w:tabs>
        <w:ind w:left="1701" w:hanging="227"/>
      </w:pPr>
      <w:rPr>
        <w:rFonts w:ascii="Symbol" w:hAnsi="Symbol" w:hint="default"/>
      </w:rPr>
    </w:lvl>
    <w:lvl w:ilvl="7">
      <w:start w:val="1"/>
      <w:numFmt w:val="bullet"/>
      <w:lvlText w:val=""/>
      <w:lvlJc w:val="left"/>
      <w:pPr>
        <w:tabs>
          <w:tab w:val="num" w:pos="1928"/>
        </w:tabs>
        <w:ind w:left="1928" w:hanging="227"/>
      </w:pPr>
      <w:rPr>
        <w:rFonts w:ascii="Symbol" w:hAnsi="Symbol" w:hint="default"/>
      </w:rPr>
    </w:lvl>
    <w:lvl w:ilvl="8">
      <w:start w:val="1"/>
      <w:numFmt w:val="bullet"/>
      <w:lvlText w:val=""/>
      <w:lvlJc w:val="left"/>
      <w:pPr>
        <w:tabs>
          <w:tab w:val="num" w:pos="2155"/>
        </w:tabs>
        <w:ind w:left="2155" w:hanging="227"/>
      </w:pPr>
      <w:rPr>
        <w:rFonts w:ascii="Symbol" w:hAnsi="Symbol" w:hint="default"/>
      </w:rPr>
    </w:lvl>
  </w:abstractNum>
  <w:abstractNum w:abstractNumId="18" w15:restartNumberingAfterBreak="0">
    <w:nsid w:val="1A847553"/>
    <w:multiLevelType w:val="multilevel"/>
    <w:tmpl w:val="45AEAC08"/>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tabs>
          <w:tab w:val="num" w:pos="794"/>
        </w:tabs>
        <w:ind w:left="794" w:hanging="227"/>
      </w:pPr>
      <w:rPr>
        <w:rFonts w:ascii="Symbol" w:hAnsi="Symbol" w:hint="default"/>
      </w:rPr>
    </w:lvl>
    <w:lvl w:ilvl="3">
      <w:start w:val="1"/>
      <w:numFmt w:val="bullet"/>
      <w:lvlText w:val=""/>
      <w:lvlJc w:val="left"/>
      <w:pPr>
        <w:tabs>
          <w:tab w:val="num" w:pos="1021"/>
        </w:tabs>
        <w:ind w:left="1021" w:hanging="227"/>
      </w:pPr>
      <w:rPr>
        <w:rFonts w:ascii="Symbol" w:hAnsi="Symbol" w:hint="default"/>
      </w:rPr>
    </w:lvl>
    <w:lvl w:ilvl="4">
      <w:start w:val="1"/>
      <w:numFmt w:val="bullet"/>
      <w:lvlText w:val=""/>
      <w:lvlJc w:val="left"/>
      <w:pPr>
        <w:tabs>
          <w:tab w:val="num" w:pos="1247"/>
        </w:tabs>
        <w:ind w:left="1247" w:hanging="227"/>
      </w:pPr>
      <w:rPr>
        <w:rFonts w:ascii="Symbol" w:hAnsi="Symbol" w:hint="default"/>
      </w:rPr>
    </w:lvl>
    <w:lvl w:ilvl="5">
      <w:start w:val="1"/>
      <w:numFmt w:val="bullet"/>
      <w:lvlText w:val=""/>
      <w:lvlJc w:val="left"/>
      <w:pPr>
        <w:tabs>
          <w:tab w:val="num" w:pos="1474"/>
        </w:tabs>
        <w:ind w:left="1474" w:hanging="227"/>
      </w:pPr>
      <w:rPr>
        <w:rFonts w:ascii="Symbol" w:hAnsi="Symbol" w:hint="default"/>
      </w:rPr>
    </w:lvl>
    <w:lvl w:ilvl="6">
      <w:start w:val="1"/>
      <w:numFmt w:val="bullet"/>
      <w:lvlText w:val=""/>
      <w:lvlJc w:val="left"/>
      <w:pPr>
        <w:tabs>
          <w:tab w:val="num" w:pos="1701"/>
        </w:tabs>
        <w:ind w:left="1701" w:hanging="227"/>
      </w:pPr>
      <w:rPr>
        <w:rFonts w:ascii="Symbol" w:hAnsi="Symbol" w:hint="default"/>
      </w:rPr>
    </w:lvl>
    <w:lvl w:ilvl="7">
      <w:start w:val="1"/>
      <w:numFmt w:val="bullet"/>
      <w:lvlText w:val=""/>
      <w:lvlJc w:val="left"/>
      <w:pPr>
        <w:tabs>
          <w:tab w:val="num" w:pos="1928"/>
        </w:tabs>
        <w:ind w:left="1928" w:hanging="227"/>
      </w:pPr>
      <w:rPr>
        <w:rFonts w:ascii="Symbol" w:hAnsi="Symbol" w:hint="default"/>
      </w:rPr>
    </w:lvl>
    <w:lvl w:ilvl="8">
      <w:start w:val="1"/>
      <w:numFmt w:val="bullet"/>
      <w:lvlText w:val=""/>
      <w:lvlJc w:val="left"/>
      <w:pPr>
        <w:tabs>
          <w:tab w:val="num" w:pos="2155"/>
        </w:tabs>
        <w:ind w:left="2155" w:hanging="227"/>
      </w:pPr>
      <w:rPr>
        <w:rFonts w:ascii="Symbol" w:hAnsi="Symbol" w:hint="default"/>
      </w:rPr>
    </w:lvl>
  </w:abstractNum>
  <w:abstractNum w:abstractNumId="19" w15:restartNumberingAfterBreak="0">
    <w:nsid w:val="1AD62F1F"/>
    <w:multiLevelType w:val="multilevel"/>
    <w:tmpl w:val="D8DAABA0"/>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tabs>
          <w:tab w:val="num" w:pos="794"/>
        </w:tabs>
        <w:ind w:left="794" w:hanging="227"/>
      </w:pPr>
      <w:rPr>
        <w:rFonts w:ascii="Symbol" w:hAnsi="Symbol" w:hint="default"/>
      </w:rPr>
    </w:lvl>
    <w:lvl w:ilvl="3">
      <w:start w:val="1"/>
      <w:numFmt w:val="bullet"/>
      <w:lvlText w:val=""/>
      <w:lvlJc w:val="left"/>
      <w:pPr>
        <w:tabs>
          <w:tab w:val="num" w:pos="1021"/>
        </w:tabs>
        <w:ind w:left="1021" w:hanging="227"/>
      </w:pPr>
      <w:rPr>
        <w:rFonts w:ascii="Symbol" w:hAnsi="Symbol" w:hint="default"/>
      </w:rPr>
    </w:lvl>
    <w:lvl w:ilvl="4">
      <w:start w:val="1"/>
      <w:numFmt w:val="bullet"/>
      <w:lvlText w:val=""/>
      <w:lvlJc w:val="left"/>
      <w:pPr>
        <w:tabs>
          <w:tab w:val="num" w:pos="1247"/>
        </w:tabs>
        <w:ind w:left="1247" w:hanging="227"/>
      </w:pPr>
      <w:rPr>
        <w:rFonts w:ascii="Symbol" w:hAnsi="Symbol" w:hint="default"/>
      </w:rPr>
    </w:lvl>
    <w:lvl w:ilvl="5">
      <w:start w:val="1"/>
      <w:numFmt w:val="bullet"/>
      <w:lvlText w:val=""/>
      <w:lvlJc w:val="left"/>
      <w:pPr>
        <w:tabs>
          <w:tab w:val="num" w:pos="1474"/>
        </w:tabs>
        <w:ind w:left="1474" w:hanging="227"/>
      </w:pPr>
      <w:rPr>
        <w:rFonts w:ascii="Symbol" w:hAnsi="Symbol" w:hint="default"/>
      </w:rPr>
    </w:lvl>
    <w:lvl w:ilvl="6">
      <w:start w:val="1"/>
      <w:numFmt w:val="bullet"/>
      <w:lvlText w:val=""/>
      <w:lvlJc w:val="left"/>
      <w:pPr>
        <w:tabs>
          <w:tab w:val="num" w:pos="1701"/>
        </w:tabs>
        <w:ind w:left="1701" w:hanging="227"/>
      </w:pPr>
      <w:rPr>
        <w:rFonts w:ascii="Symbol" w:hAnsi="Symbol" w:hint="default"/>
      </w:rPr>
    </w:lvl>
    <w:lvl w:ilvl="7">
      <w:start w:val="1"/>
      <w:numFmt w:val="bullet"/>
      <w:lvlText w:val=""/>
      <w:lvlJc w:val="left"/>
      <w:pPr>
        <w:tabs>
          <w:tab w:val="num" w:pos="1928"/>
        </w:tabs>
        <w:ind w:left="1928" w:hanging="227"/>
      </w:pPr>
      <w:rPr>
        <w:rFonts w:ascii="Symbol" w:hAnsi="Symbol" w:hint="default"/>
      </w:rPr>
    </w:lvl>
    <w:lvl w:ilvl="8">
      <w:start w:val="1"/>
      <w:numFmt w:val="bullet"/>
      <w:lvlText w:val=""/>
      <w:lvlJc w:val="left"/>
      <w:pPr>
        <w:tabs>
          <w:tab w:val="num" w:pos="2155"/>
        </w:tabs>
        <w:ind w:left="2155" w:hanging="227"/>
      </w:pPr>
      <w:rPr>
        <w:rFonts w:ascii="Symbol" w:hAnsi="Symbol" w:hint="default"/>
      </w:rPr>
    </w:lvl>
  </w:abstractNum>
  <w:abstractNum w:abstractNumId="20" w15:restartNumberingAfterBreak="0">
    <w:nsid w:val="1B430ACD"/>
    <w:multiLevelType w:val="multilevel"/>
    <w:tmpl w:val="BA3E7C8A"/>
    <w:lvl w:ilvl="0">
      <w:start w:val="1"/>
      <w:numFmt w:val="bullet"/>
      <w:lvlText w:val=""/>
      <w:lvlJc w:val="left"/>
      <w:pPr>
        <w:tabs>
          <w:tab w:val="num" w:pos="720"/>
        </w:tabs>
        <w:ind w:left="720" w:hanging="360"/>
      </w:pPr>
      <w:rPr>
        <w:rFonts w:ascii="Verdana" w:hAnsi="Verdana" w:hint="default"/>
        <w:b w:val="0"/>
        <w:i w:val="0"/>
        <w:sz w:val="18"/>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142521"/>
    <w:multiLevelType w:val="hybridMultilevel"/>
    <w:tmpl w:val="44E6AA22"/>
    <w:lvl w:ilvl="0" w:tplc="04130001">
      <w:start w:val="1"/>
      <w:numFmt w:val="bullet"/>
      <w:lvlText w:val=""/>
      <w:lvlJc w:val="left"/>
      <w:pPr>
        <w:ind w:left="530" w:hanging="360"/>
      </w:pPr>
      <w:rPr>
        <w:rFonts w:ascii="Symbol" w:hAnsi="Symbol" w:hint="default"/>
      </w:rPr>
    </w:lvl>
    <w:lvl w:ilvl="1" w:tplc="04130003" w:tentative="1">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abstractNum w:abstractNumId="22" w15:restartNumberingAfterBreak="0">
    <w:nsid w:val="2C30682E"/>
    <w:multiLevelType w:val="multilevel"/>
    <w:tmpl w:val="7EDEB274"/>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tabs>
          <w:tab w:val="num" w:pos="794"/>
        </w:tabs>
        <w:ind w:left="794" w:hanging="227"/>
      </w:pPr>
      <w:rPr>
        <w:rFonts w:ascii="Symbol" w:hAnsi="Symbol" w:hint="default"/>
      </w:rPr>
    </w:lvl>
    <w:lvl w:ilvl="3">
      <w:start w:val="1"/>
      <w:numFmt w:val="bullet"/>
      <w:lvlText w:val=""/>
      <w:lvlJc w:val="left"/>
      <w:pPr>
        <w:tabs>
          <w:tab w:val="num" w:pos="1021"/>
        </w:tabs>
        <w:ind w:left="1021" w:hanging="227"/>
      </w:pPr>
      <w:rPr>
        <w:rFonts w:ascii="Symbol" w:hAnsi="Symbol" w:hint="default"/>
      </w:rPr>
    </w:lvl>
    <w:lvl w:ilvl="4">
      <w:start w:val="1"/>
      <w:numFmt w:val="bullet"/>
      <w:lvlText w:val=""/>
      <w:lvlJc w:val="left"/>
      <w:pPr>
        <w:tabs>
          <w:tab w:val="num" w:pos="1247"/>
        </w:tabs>
        <w:ind w:left="1247" w:hanging="227"/>
      </w:pPr>
      <w:rPr>
        <w:rFonts w:ascii="Symbol" w:hAnsi="Symbol" w:hint="default"/>
      </w:rPr>
    </w:lvl>
    <w:lvl w:ilvl="5">
      <w:start w:val="1"/>
      <w:numFmt w:val="bullet"/>
      <w:lvlText w:val=""/>
      <w:lvlJc w:val="left"/>
      <w:pPr>
        <w:tabs>
          <w:tab w:val="num" w:pos="1474"/>
        </w:tabs>
        <w:ind w:left="1474" w:hanging="227"/>
      </w:pPr>
      <w:rPr>
        <w:rFonts w:ascii="Symbol" w:hAnsi="Symbol" w:hint="default"/>
      </w:rPr>
    </w:lvl>
    <w:lvl w:ilvl="6">
      <w:start w:val="1"/>
      <w:numFmt w:val="bullet"/>
      <w:lvlText w:val=""/>
      <w:lvlJc w:val="left"/>
      <w:pPr>
        <w:tabs>
          <w:tab w:val="num" w:pos="1701"/>
        </w:tabs>
        <w:ind w:left="1701" w:hanging="227"/>
      </w:pPr>
      <w:rPr>
        <w:rFonts w:ascii="Symbol" w:hAnsi="Symbol" w:hint="default"/>
      </w:rPr>
    </w:lvl>
    <w:lvl w:ilvl="7">
      <w:start w:val="1"/>
      <w:numFmt w:val="bullet"/>
      <w:lvlText w:val=""/>
      <w:lvlJc w:val="left"/>
      <w:pPr>
        <w:tabs>
          <w:tab w:val="num" w:pos="1928"/>
        </w:tabs>
        <w:ind w:left="1928" w:hanging="227"/>
      </w:pPr>
      <w:rPr>
        <w:rFonts w:ascii="Symbol" w:hAnsi="Symbol" w:hint="default"/>
      </w:rPr>
    </w:lvl>
    <w:lvl w:ilvl="8">
      <w:start w:val="1"/>
      <w:numFmt w:val="bullet"/>
      <w:lvlText w:val=""/>
      <w:lvlJc w:val="left"/>
      <w:pPr>
        <w:tabs>
          <w:tab w:val="num" w:pos="2155"/>
        </w:tabs>
        <w:ind w:left="2155" w:hanging="227"/>
      </w:pPr>
      <w:rPr>
        <w:rFonts w:ascii="Symbol" w:hAnsi="Symbol" w:hint="default"/>
      </w:rPr>
    </w:lvl>
  </w:abstractNum>
  <w:abstractNum w:abstractNumId="23" w15:restartNumberingAfterBreak="0">
    <w:nsid w:val="2D2645C3"/>
    <w:multiLevelType w:val="multilevel"/>
    <w:tmpl w:val="04090023"/>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F562A60"/>
    <w:multiLevelType w:val="multilevel"/>
    <w:tmpl w:val="5CBAA0F0"/>
    <w:numStyleLink w:val="111111"/>
  </w:abstractNum>
  <w:abstractNum w:abstractNumId="25" w15:restartNumberingAfterBreak="0">
    <w:nsid w:val="2F8F4DAA"/>
    <w:multiLevelType w:val="hybridMultilevel"/>
    <w:tmpl w:val="5BC4F72A"/>
    <w:lvl w:ilvl="0" w:tplc="04130001">
      <w:start w:val="1"/>
      <w:numFmt w:val="bullet"/>
      <w:lvlText w:val=""/>
      <w:lvlJc w:val="left"/>
      <w:pPr>
        <w:ind w:left="530" w:hanging="360"/>
      </w:pPr>
      <w:rPr>
        <w:rFonts w:ascii="Symbol" w:hAnsi="Symbol" w:hint="default"/>
      </w:rPr>
    </w:lvl>
    <w:lvl w:ilvl="1" w:tplc="04130003" w:tentative="1">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abstractNum w:abstractNumId="26" w15:restartNumberingAfterBreak="0">
    <w:nsid w:val="316D68A3"/>
    <w:multiLevelType w:val="multilevel"/>
    <w:tmpl w:val="5CBAA0F0"/>
    <w:numStyleLink w:val="111111"/>
  </w:abstractNum>
  <w:abstractNum w:abstractNumId="27" w15:restartNumberingAfterBreak="0">
    <w:nsid w:val="319671F0"/>
    <w:multiLevelType w:val="multilevel"/>
    <w:tmpl w:val="480C75D4"/>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tabs>
          <w:tab w:val="num" w:pos="794"/>
        </w:tabs>
        <w:ind w:left="794" w:hanging="227"/>
      </w:pPr>
      <w:rPr>
        <w:rFonts w:ascii="Symbol" w:hAnsi="Symbol" w:hint="default"/>
      </w:rPr>
    </w:lvl>
    <w:lvl w:ilvl="3">
      <w:start w:val="1"/>
      <w:numFmt w:val="bullet"/>
      <w:lvlText w:val=""/>
      <w:lvlJc w:val="left"/>
      <w:pPr>
        <w:tabs>
          <w:tab w:val="num" w:pos="1021"/>
        </w:tabs>
        <w:ind w:left="1021" w:hanging="227"/>
      </w:pPr>
      <w:rPr>
        <w:rFonts w:ascii="Symbol" w:hAnsi="Symbol" w:hint="default"/>
      </w:rPr>
    </w:lvl>
    <w:lvl w:ilvl="4">
      <w:start w:val="1"/>
      <w:numFmt w:val="bullet"/>
      <w:lvlText w:val=""/>
      <w:lvlJc w:val="left"/>
      <w:pPr>
        <w:tabs>
          <w:tab w:val="num" w:pos="1247"/>
        </w:tabs>
        <w:ind w:left="1247" w:hanging="227"/>
      </w:pPr>
      <w:rPr>
        <w:rFonts w:ascii="Symbol" w:hAnsi="Symbol" w:hint="default"/>
      </w:rPr>
    </w:lvl>
    <w:lvl w:ilvl="5">
      <w:start w:val="1"/>
      <w:numFmt w:val="bullet"/>
      <w:lvlText w:val=""/>
      <w:lvlJc w:val="left"/>
      <w:pPr>
        <w:tabs>
          <w:tab w:val="num" w:pos="1474"/>
        </w:tabs>
        <w:ind w:left="1474" w:hanging="227"/>
      </w:pPr>
      <w:rPr>
        <w:rFonts w:ascii="Symbol" w:hAnsi="Symbol" w:hint="default"/>
      </w:rPr>
    </w:lvl>
    <w:lvl w:ilvl="6">
      <w:start w:val="1"/>
      <w:numFmt w:val="bullet"/>
      <w:lvlText w:val=""/>
      <w:lvlJc w:val="left"/>
      <w:pPr>
        <w:tabs>
          <w:tab w:val="num" w:pos="1701"/>
        </w:tabs>
        <w:ind w:left="1701" w:hanging="227"/>
      </w:pPr>
      <w:rPr>
        <w:rFonts w:ascii="Symbol" w:hAnsi="Symbol" w:hint="default"/>
      </w:rPr>
    </w:lvl>
    <w:lvl w:ilvl="7">
      <w:start w:val="1"/>
      <w:numFmt w:val="bullet"/>
      <w:lvlText w:val=""/>
      <w:lvlJc w:val="left"/>
      <w:pPr>
        <w:tabs>
          <w:tab w:val="num" w:pos="1928"/>
        </w:tabs>
        <w:ind w:left="1928" w:hanging="227"/>
      </w:pPr>
      <w:rPr>
        <w:rFonts w:ascii="Symbol" w:hAnsi="Symbol" w:hint="default"/>
      </w:rPr>
    </w:lvl>
    <w:lvl w:ilvl="8">
      <w:start w:val="1"/>
      <w:numFmt w:val="bullet"/>
      <w:lvlText w:val=""/>
      <w:lvlJc w:val="left"/>
      <w:pPr>
        <w:tabs>
          <w:tab w:val="num" w:pos="2155"/>
        </w:tabs>
        <w:ind w:left="2155" w:hanging="227"/>
      </w:pPr>
      <w:rPr>
        <w:rFonts w:ascii="Symbol" w:hAnsi="Symbol" w:hint="default"/>
      </w:rPr>
    </w:lvl>
  </w:abstractNum>
  <w:abstractNum w:abstractNumId="28" w15:restartNumberingAfterBreak="0">
    <w:nsid w:val="36384A43"/>
    <w:multiLevelType w:val="multilevel"/>
    <w:tmpl w:val="5CBAA0F0"/>
    <w:styleLink w:val="111111"/>
    <w:lvl w:ilvl="0">
      <w:start w:val="1"/>
      <w:numFmt w:val="decimal"/>
      <w:lvlText w:val="%1."/>
      <w:lvlJc w:val="left"/>
      <w:pPr>
        <w:tabs>
          <w:tab w:val="num" w:pos="680"/>
        </w:tabs>
        <w:ind w:left="680" w:hanging="680"/>
      </w:pPr>
      <w:rPr>
        <w:rFonts w:hint="default"/>
        <w:sz w:val="50"/>
      </w:rPr>
    </w:lvl>
    <w:lvl w:ilvl="1">
      <w:start w:val="1"/>
      <w:numFmt w:val="decimal"/>
      <w:lvlText w:val="%1.%2"/>
      <w:lvlJc w:val="left"/>
      <w:pPr>
        <w:tabs>
          <w:tab w:val="num" w:pos="680"/>
        </w:tabs>
        <w:ind w:left="680" w:hanging="680"/>
      </w:pPr>
      <w:rPr>
        <w:rFonts w:ascii="Verdana" w:hAnsi="Verdana" w:hint="default"/>
        <w:b w:val="0"/>
        <w:i w:val="0"/>
        <w:sz w:val="34"/>
      </w:rPr>
    </w:lvl>
    <w:lvl w:ilvl="2">
      <w:start w:val="1"/>
      <w:numFmt w:val="decimal"/>
      <w:lvlText w:val="%1.%2.%3"/>
      <w:lvlJc w:val="left"/>
      <w:pPr>
        <w:tabs>
          <w:tab w:val="num" w:pos="680"/>
        </w:tabs>
        <w:ind w:left="680" w:hanging="680"/>
      </w:pPr>
      <w:rPr>
        <w:rFonts w:ascii="Verdana" w:hAnsi="Verdana" w:hint="default"/>
        <w:b/>
        <w:i w:val="0"/>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3A0D41E7"/>
    <w:multiLevelType w:val="multilevel"/>
    <w:tmpl w:val="45D20E56"/>
    <w:lvl w:ilvl="0">
      <w:start w:val="1"/>
      <w:numFmt w:val="decimal"/>
      <w:pStyle w:val="04Titel"/>
      <w:lvlText w:val="%1."/>
      <w:lvlJc w:val="left"/>
      <w:pPr>
        <w:tabs>
          <w:tab w:val="num" w:pos="680"/>
        </w:tabs>
        <w:ind w:left="680" w:hanging="680"/>
      </w:pPr>
      <w:rPr>
        <w:rFonts w:hint="default"/>
        <w:sz w:val="50"/>
      </w:rPr>
    </w:lvl>
    <w:lvl w:ilvl="1">
      <w:start w:val="1"/>
      <w:numFmt w:val="decimal"/>
      <w:pStyle w:val="05Subtitel"/>
      <w:lvlText w:val="%1.%2"/>
      <w:lvlJc w:val="left"/>
      <w:pPr>
        <w:tabs>
          <w:tab w:val="num" w:pos="680"/>
        </w:tabs>
        <w:ind w:left="680" w:hanging="680"/>
      </w:pPr>
      <w:rPr>
        <w:rFonts w:ascii="Verdana" w:hAnsi="Verdana" w:hint="default"/>
        <w:b w:val="0"/>
        <w:i w:val="0"/>
        <w:sz w:val="34"/>
      </w:rPr>
    </w:lvl>
    <w:lvl w:ilvl="2">
      <w:start w:val="1"/>
      <w:numFmt w:val="decimal"/>
      <w:pStyle w:val="06Subkop"/>
      <w:lvlText w:val="%1.%2.%3"/>
      <w:lvlJc w:val="left"/>
      <w:pPr>
        <w:tabs>
          <w:tab w:val="num" w:pos="680"/>
        </w:tabs>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3EF50CBA"/>
    <w:multiLevelType w:val="multilevel"/>
    <w:tmpl w:val="7B725878"/>
    <w:lvl w:ilvl="0">
      <w:start w:val="1"/>
      <w:numFmt w:val="decimal"/>
      <w:lvlText w:val="%1."/>
      <w:lvlJc w:val="left"/>
      <w:pPr>
        <w:tabs>
          <w:tab w:val="num" w:pos="850"/>
        </w:tabs>
        <w:ind w:left="850" w:hanging="680"/>
      </w:pPr>
      <w:rPr>
        <w:rFonts w:hint="default"/>
        <w:sz w:val="50"/>
      </w:rPr>
    </w:lvl>
    <w:lvl w:ilvl="1">
      <w:start w:val="1"/>
      <w:numFmt w:val="decimal"/>
      <w:lvlText w:val="%1.%2"/>
      <w:lvlJc w:val="left"/>
      <w:pPr>
        <w:tabs>
          <w:tab w:val="num" w:pos="850"/>
        </w:tabs>
        <w:ind w:left="850" w:hanging="680"/>
      </w:pPr>
      <w:rPr>
        <w:rFonts w:ascii="Verdana" w:hAnsi="Verdana" w:hint="default"/>
        <w:b w:val="0"/>
        <w:i w:val="0"/>
        <w:sz w:val="34"/>
      </w:rPr>
    </w:lvl>
    <w:lvl w:ilvl="2">
      <w:start w:val="1"/>
      <w:numFmt w:val="decimal"/>
      <w:lvlText w:val="%1.%2.%3"/>
      <w:lvlJc w:val="left"/>
      <w:pPr>
        <w:tabs>
          <w:tab w:val="num" w:pos="850"/>
        </w:tabs>
        <w:ind w:left="850" w:hanging="680"/>
      </w:pPr>
      <w:rPr>
        <w:rFonts w:ascii="Verdana" w:hAnsi="Verdana" w:hint="default"/>
        <w:b/>
        <w:i w:val="0"/>
        <w:sz w:val="22"/>
      </w:rPr>
    </w:lvl>
    <w:lvl w:ilvl="3">
      <w:start w:val="1"/>
      <w:numFmt w:val="decimal"/>
      <w:lvlText w:val="%1.%2.%3.%4."/>
      <w:lvlJc w:val="left"/>
      <w:pPr>
        <w:tabs>
          <w:tab w:val="num" w:pos="2330"/>
        </w:tabs>
        <w:ind w:left="1898" w:hanging="648"/>
      </w:pPr>
      <w:rPr>
        <w:rFonts w:hint="default"/>
      </w:rPr>
    </w:lvl>
    <w:lvl w:ilvl="4">
      <w:start w:val="1"/>
      <w:numFmt w:val="decimal"/>
      <w:lvlText w:val="%1.%2.%3.%4.%5."/>
      <w:lvlJc w:val="left"/>
      <w:pPr>
        <w:tabs>
          <w:tab w:val="num" w:pos="2690"/>
        </w:tabs>
        <w:ind w:left="2402" w:hanging="792"/>
      </w:pPr>
      <w:rPr>
        <w:rFonts w:hint="default"/>
      </w:rPr>
    </w:lvl>
    <w:lvl w:ilvl="5">
      <w:start w:val="1"/>
      <w:numFmt w:val="decimal"/>
      <w:lvlText w:val="%1.%2.%3.%4.%5.%6."/>
      <w:lvlJc w:val="left"/>
      <w:pPr>
        <w:tabs>
          <w:tab w:val="num" w:pos="3410"/>
        </w:tabs>
        <w:ind w:left="2906" w:hanging="936"/>
      </w:pPr>
      <w:rPr>
        <w:rFonts w:hint="default"/>
      </w:rPr>
    </w:lvl>
    <w:lvl w:ilvl="6">
      <w:start w:val="1"/>
      <w:numFmt w:val="decimal"/>
      <w:lvlText w:val="%1.%2.%3.%4.%5.%6.%7."/>
      <w:lvlJc w:val="left"/>
      <w:pPr>
        <w:tabs>
          <w:tab w:val="num" w:pos="4130"/>
        </w:tabs>
        <w:ind w:left="3410" w:hanging="1080"/>
      </w:pPr>
      <w:rPr>
        <w:rFonts w:hint="default"/>
      </w:rPr>
    </w:lvl>
    <w:lvl w:ilvl="7">
      <w:start w:val="1"/>
      <w:numFmt w:val="decimal"/>
      <w:lvlText w:val="%1.%2.%3.%4.%5.%6.%7.%8."/>
      <w:lvlJc w:val="left"/>
      <w:pPr>
        <w:tabs>
          <w:tab w:val="num" w:pos="4490"/>
        </w:tabs>
        <w:ind w:left="3914" w:hanging="1224"/>
      </w:pPr>
      <w:rPr>
        <w:rFonts w:hint="default"/>
      </w:rPr>
    </w:lvl>
    <w:lvl w:ilvl="8">
      <w:start w:val="1"/>
      <w:numFmt w:val="decimal"/>
      <w:lvlText w:val="%1.%2.%3.%4.%5.%6.%7.%8.%9."/>
      <w:lvlJc w:val="left"/>
      <w:pPr>
        <w:tabs>
          <w:tab w:val="num" w:pos="5210"/>
        </w:tabs>
        <w:ind w:left="4490" w:hanging="1440"/>
      </w:pPr>
      <w:rPr>
        <w:rFonts w:hint="default"/>
      </w:rPr>
    </w:lvl>
  </w:abstractNum>
  <w:abstractNum w:abstractNumId="31" w15:restartNumberingAfterBreak="0">
    <w:nsid w:val="4DCC4B81"/>
    <w:multiLevelType w:val="hybridMultilevel"/>
    <w:tmpl w:val="B6CC29F8"/>
    <w:lvl w:ilvl="0" w:tplc="2ACC81C0">
      <w:start w:val="1"/>
      <w:numFmt w:val="bullet"/>
      <w:pStyle w:val="02Opsomming"/>
      <w:lvlText w:val="•"/>
      <w:lvlJc w:val="left"/>
      <w:pPr>
        <w:tabs>
          <w:tab w:val="num" w:pos="170"/>
        </w:tabs>
        <w:ind w:left="170" w:hanging="170"/>
      </w:pPr>
      <w:rPr>
        <w:rFonts w:ascii="Verdana" w:hAnsi="Verdana" w:hint="default"/>
        <w:b w:val="0"/>
        <w:i w:val="0"/>
        <w:sz w:val="18"/>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941EC2"/>
    <w:multiLevelType w:val="multilevel"/>
    <w:tmpl w:val="7B725878"/>
    <w:lvl w:ilvl="0">
      <w:start w:val="1"/>
      <w:numFmt w:val="decimal"/>
      <w:lvlText w:val="%1."/>
      <w:lvlJc w:val="left"/>
      <w:pPr>
        <w:tabs>
          <w:tab w:val="num" w:pos="680"/>
        </w:tabs>
        <w:ind w:left="680" w:hanging="680"/>
      </w:pPr>
      <w:rPr>
        <w:rFonts w:hint="default"/>
        <w:sz w:val="50"/>
      </w:rPr>
    </w:lvl>
    <w:lvl w:ilvl="1">
      <w:start w:val="1"/>
      <w:numFmt w:val="decimal"/>
      <w:lvlText w:val="%1.%2"/>
      <w:lvlJc w:val="left"/>
      <w:pPr>
        <w:tabs>
          <w:tab w:val="num" w:pos="680"/>
        </w:tabs>
        <w:ind w:left="680" w:hanging="680"/>
      </w:pPr>
      <w:rPr>
        <w:rFonts w:ascii="Verdana" w:hAnsi="Verdana" w:hint="default"/>
        <w:b w:val="0"/>
        <w:i w:val="0"/>
        <w:sz w:val="34"/>
      </w:rPr>
    </w:lvl>
    <w:lvl w:ilvl="2">
      <w:start w:val="1"/>
      <w:numFmt w:val="decimal"/>
      <w:lvlText w:val="%1.%2.%3"/>
      <w:lvlJc w:val="left"/>
      <w:pPr>
        <w:tabs>
          <w:tab w:val="num" w:pos="680"/>
        </w:tabs>
        <w:ind w:left="680" w:hanging="680"/>
      </w:pPr>
      <w:rPr>
        <w:rFonts w:ascii="Verdana" w:hAnsi="Verdana" w:hint="default"/>
        <w:b/>
        <w:i w:val="0"/>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55F616F6"/>
    <w:multiLevelType w:val="multilevel"/>
    <w:tmpl w:val="2C6E0472"/>
    <w:lvl w:ilvl="0">
      <w:start w:val="1"/>
      <w:numFmt w:val="decimal"/>
      <w:lvlText w:val="%1"/>
      <w:lvlJc w:val="left"/>
      <w:pPr>
        <w:tabs>
          <w:tab w:val="num" w:pos="680"/>
        </w:tabs>
        <w:ind w:left="680" w:hanging="680"/>
      </w:pPr>
      <w:rPr>
        <w:rFonts w:hint="default"/>
      </w:rPr>
    </w:lvl>
    <w:lvl w:ilvl="1">
      <w:start w:val="2"/>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6224489C"/>
    <w:multiLevelType w:val="hybridMultilevel"/>
    <w:tmpl w:val="C4F2F0C6"/>
    <w:lvl w:ilvl="0" w:tplc="C1C2D1DE">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3AB59F6"/>
    <w:multiLevelType w:val="multilevel"/>
    <w:tmpl w:val="7B725878"/>
    <w:lvl w:ilvl="0">
      <w:start w:val="1"/>
      <w:numFmt w:val="decimal"/>
      <w:lvlText w:val="%1."/>
      <w:lvlJc w:val="left"/>
      <w:pPr>
        <w:tabs>
          <w:tab w:val="num" w:pos="680"/>
        </w:tabs>
        <w:ind w:left="680" w:hanging="680"/>
      </w:pPr>
      <w:rPr>
        <w:rFonts w:hint="default"/>
        <w:sz w:val="50"/>
      </w:rPr>
    </w:lvl>
    <w:lvl w:ilvl="1">
      <w:start w:val="1"/>
      <w:numFmt w:val="decimal"/>
      <w:lvlText w:val="%1.%2"/>
      <w:lvlJc w:val="left"/>
      <w:pPr>
        <w:tabs>
          <w:tab w:val="num" w:pos="680"/>
        </w:tabs>
        <w:ind w:left="680" w:hanging="680"/>
      </w:pPr>
      <w:rPr>
        <w:rFonts w:ascii="Verdana" w:hAnsi="Verdana" w:hint="default"/>
        <w:b w:val="0"/>
        <w:i w:val="0"/>
        <w:sz w:val="34"/>
      </w:rPr>
    </w:lvl>
    <w:lvl w:ilvl="2">
      <w:start w:val="1"/>
      <w:numFmt w:val="decimal"/>
      <w:lvlText w:val="%1.%2.%3"/>
      <w:lvlJc w:val="left"/>
      <w:pPr>
        <w:tabs>
          <w:tab w:val="num" w:pos="680"/>
        </w:tabs>
        <w:ind w:left="680" w:hanging="680"/>
      </w:pPr>
      <w:rPr>
        <w:rFonts w:ascii="Verdana" w:hAnsi="Verdana" w:hint="default"/>
        <w:b/>
        <w:i w:val="0"/>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65DA367C"/>
    <w:multiLevelType w:val="multilevel"/>
    <w:tmpl w:val="B22A711C"/>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567"/>
        </w:tabs>
        <w:ind w:left="567" w:hanging="227"/>
      </w:pPr>
      <w:rPr>
        <w:rFonts w:ascii="Symbol" w:hAnsi="Symbol" w:hint="default"/>
      </w:rPr>
    </w:lvl>
    <w:lvl w:ilvl="2">
      <w:start w:val="1"/>
      <w:numFmt w:val="bullet"/>
      <w:lvlText w:val=""/>
      <w:lvlJc w:val="left"/>
      <w:pPr>
        <w:tabs>
          <w:tab w:val="num" w:pos="794"/>
        </w:tabs>
        <w:ind w:left="794" w:hanging="227"/>
      </w:pPr>
      <w:rPr>
        <w:rFonts w:ascii="Symbol" w:hAnsi="Symbol" w:hint="default"/>
      </w:rPr>
    </w:lvl>
    <w:lvl w:ilvl="3">
      <w:start w:val="1"/>
      <w:numFmt w:val="bullet"/>
      <w:lvlText w:val=""/>
      <w:lvlJc w:val="left"/>
      <w:pPr>
        <w:tabs>
          <w:tab w:val="num" w:pos="1021"/>
        </w:tabs>
        <w:ind w:left="1021" w:hanging="227"/>
      </w:pPr>
      <w:rPr>
        <w:rFonts w:ascii="Symbol" w:hAnsi="Symbol" w:hint="default"/>
      </w:rPr>
    </w:lvl>
    <w:lvl w:ilvl="4">
      <w:start w:val="1"/>
      <w:numFmt w:val="bullet"/>
      <w:lvlText w:val=""/>
      <w:lvlJc w:val="left"/>
      <w:pPr>
        <w:tabs>
          <w:tab w:val="num" w:pos="1247"/>
        </w:tabs>
        <w:ind w:left="1247" w:hanging="227"/>
      </w:pPr>
      <w:rPr>
        <w:rFonts w:ascii="Symbol" w:hAnsi="Symbol" w:hint="default"/>
      </w:rPr>
    </w:lvl>
    <w:lvl w:ilvl="5">
      <w:start w:val="1"/>
      <w:numFmt w:val="bullet"/>
      <w:lvlText w:val=""/>
      <w:lvlJc w:val="left"/>
      <w:pPr>
        <w:tabs>
          <w:tab w:val="num" w:pos="1474"/>
        </w:tabs>
        <w:ind w:left="1474" w:hanging="227"/>
      </w:pPr>
      <w:rPr>
        <w:rFonts w:ascii="Symbol" w:hAnsi="Symbol" w:hint="default"/>
      </w:rPr>
    </w:lvl>
    <w:lvl w:ilvl="6">
      <w:start w:val="1"/>
      <w:numFmt w:val="bullet"/>
      <w:lvlText w:val=""/>
      <w:lvlJc w:val="left"/>
      <w:pPr>
        <w:tabs>
          <w:tab w:val="num" w:pos="1701"/>
        </w:tabs>
        <w:ind w:left="1701" w:hanging="227"/>
      </w:pPr>
      <w:rPr>
        <w:rFonts w:ascii="Symbol" w:hAnsi="Symbol" w:hint="default"/>
      </w:rPr>
    </w:lvl>
    <w:lvl w:ilvl="7">
      <w:start w:val="1"/>
      <w:numFmt w:val="bullet"/>
      <w:lvlText w:val=""/>
      <w:lvlJc w:val="left"/>
      <w:pPr>
        <w:tabs>
          <w:tab w:val="num" w:pos="1928"/>
        </w:tabs>
        <w:ind w:left="1928" w:hanging="227"/>
      </w:pPr>
      <w:rPr>
        <w:rFonts w:ascii="Symbol" w:hAnsi="Symbol" w:hint="default"/>
      </w:rPr>
    </w:lvl>
    <w:lvl w:ilvl="8">
      <w:start w:val="1"/>
      <w:numFmt w:val="bullet"/>
      <w:lvlText w:val=""/>
      <w:lvlJc w:val="left"/>
      <w:pPr>
        <w:tabs>
          <w:tab w:val="num" w:pos="2155"/>
        </w:tabs>
        <w:ind w:left="2155" w:hanging="227"/>
      </w:pPr>
      <w:rPr>
        <w:rFonts w:ascii="Symbol" w:hAnsi="Symbol" w:hint="default"/>
      </w:rPr>
    </w:lvl>
  </w:abstractNum>
  <w:abstractNum w:abstractNumId="37" w15:restartNumberingAfterBreak="0">
    <w:nsid w:val="66E52605"/>
    <w:multiLevelType w:val="multilevel"/>
    <w:tmpl w:val="5CBAA0F0"/>
    <w:numStyleLink w:val="111111"/>
  </w:abstractNum>
  <w:abstractNum w:abstractNumId="38" w15:restartNumberingAfterBreak="0">
    <w:nsid w:val="68556254"/>
    <w:multiLevelType w:val="multilevel"/>
    <w:tmpl w:val="7B725878"/>
    <w:lvl w:ilvl="0">
      <w:start w:val="1"/>
      <w:numFmt w:val="decimal"/>
      <w:lvlText w:val="%1."/>
      <w:lvlJc w:val="left"/>
      <w:pPr>
        <w:tabs>
          <w:tab w:val="num" w:pos="680"/>
        </w:tabs>
        <w:ind w:left="680" w:hanging="680"/>
      </w:pPr>
      <w:rPr>
        <w:rFonts w:hint="default"/>
        <w:sz w:val="50"/>
      </w:rPr>
    </w:lvl>
    <w:lvl w:ilvl="1">
      <w:start w:val="1"/>
      <w:numFmt w:val="decimal"/>
      <w:lvlText w:val="%1.%2"/>
      <w:lvlJc w:val="left"/>
      <w:pPr>
        <w:tabs>
          <w:tab w:val="num" w:pos="680"/>
        </w:tabs>
        <w:ind w:left="680" w:hanging="680"/>
      </w:pPr>
      <w:rPr>
        <w:rFonts w:ascii="Verdana" w:hAnsi="Verdana" w:hint="default"/>
        <w:b w:val="0"/>
        <w:i w:val="0"/>
        <w:sz w:val="34"/>
      </w:rPr>
    </w:lvl>
    <w:lvl w:ilvl="2">
      <w:start w:val="1"/>
      <w:numFmt w:val="decimal"/>
      <w:lvlText w:val="%1.%2.%3"/>
      <w:lvlJc w:val="left"/>
      <w:pPr>
        <w:tabs>
          <w:tab w:val="num" w:pos="680"/>
        </w:tabs>
        <w:ind w:left="680" w:hanging="680"/>
      </w:pPr>
      <w:rPr>
        <w:rFonts w:ascii="Verdana" w:hAnsi="Verdana" w:hint="default"/>
        <w:b/>
        <w:i w:val="0"/>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6CD03259"/>
    <w:multiLevelType w:val="hybridMultilevel"/>
    <w:tmpl w:val="81423C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1227668"/>
    <w:multiLevelType w:val="hybridMultilevel"/>
    <w:tmpl w:val="76A66464"/>
    <w:lvl w:ilvl="0" w:tplc="DCAC57E8">
      <w:start w:val="1"/>
      <w:numFmt w:val="decimal"/>
      <w:lvlText w:val="%1."/>
      <w:lvlJc w:val="left"/>
      <w:pPr>
        <w:tabs>
          <w:tab w:val="num" w:pos="1040"/>
        </w:tabs>
        <w:ind w:left="1040" w:hanging="6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15:restartNumberingAfterBreak="0">
    <w:nsid w:val="71A05504"/>
    <w:multiLevelType w:val="multilevel"/>
    <w:tmpl w:val="7B725878"/>
    <w:lvl w:ilvl="0">
      <w:start w:val="1"/>
      <w:numFmt w:val="decimal"/>
      <w:lvlText w:val="%1."/>
      <w:lvlJc w:val="left"/>
      <w:pPr>
        <w:tabs>
          <w:tab w:val="num" w:pos="680"/>
        </w:tabs>
        <w:ind w:left="680" w:hanging="680"/>
      </w:pPr>
      <w:rPr>
        <w:rFonts w:hint="default"/>
        <w:sz w:val="50"/>
      </w:rPr>
    </w:lvl>
    <w:lvl w:ilvl="1">
      <w:start w:val="1"/>
      <w:numFmt w:val="decimal"/>
      <w:lvlText w:val="%1.%2"/>
      <w:lvlJc w:val="left"/>
      <w:pPr>
        <w:tabs>
          <w:tab w:val="num" w:pos="680"/>
        </w:tabs>
        <w:ind w:left="680" w:hanging="680"/>
      </w:pPr>
      <w:rPr>
        <w:rFonts w:ascii="Verdana" w:hAnsi="Verdana" w:hint="default"/>
        <w:b w:val="0"/>
        <w:i w:val="0"/>
        <w:sz w:val="34"/>
      </w:rPr>
    </w:lvl>
    <w:lvl w:ilvl="2">
      <w:start w:val="1"/>
      <w:numFmt w:val="decimal"/>
      <w:lvlText w:val="%1.%2.%3"/>
      <w:lvlJc w:val="left"/>
      <w:pPr>
        <w:tabs>
          <w:tab w:val="num" w:pos="680"/>
        </w:tabs>
        <w:ind w:left="680" w:hanging="680"/>
      </w:pPr>
      <w:rPr>
        <w:rFonts w:ascii="Verdana" w:hAnsi="Verdana" w:hint="default"/>
        <w:b/>
        <w:i w:val="0"/>
        <w:sz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15:restartNumberingAfterBreak="0">
    <w:nsid w:val="72754869"/>
    <w:multiLevelType w:val="hybridMultilevel"/>
    <w:tmpl w:val="DBB6654A"/>
    <w:lvl w:ilvl="0" w:tplc="4EF22AEA">
      <w:start w:val="1"/>
      <w:numFmt w:val="upp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C134461"/>
    <w:multiLevelType w:val="hybridMultilevel"/>
    <w:tmpl w:val="E7485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C4541EC"/>
    <w:multiLevelType w:val="hybridMultilevel"/>
    <w:tmpl w:val="98BE4D32"/>
    <w:lvl w:ilvl="0" w:tplc="04130001">
      <w:start w:val="1"/>
      <w:numFmt w:val="bullet"/>
      <w:lvlText w:val=""/>
      <w:lvlJc w:val="left"/>
      <w:pPr>
        <w:ind w:left="530" w:hanging="360"/>
      </w:pPr>
      <w:rPr>
        <w:rFonts w:ascii="Symbol" w:hAnsi="Symbol" w:hint="default"/>
      </w:rPr>
    </w:lvl>
    <w:lvl w:ilvl="1" w:tplc="04130003" w:tentative="1">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31"/>
  </w:num>
  <w:num w:numId="13">
    <w:abstractNumId w:val="12"/>
  </w:num>
  <w:num w:numId="14">
    <w:abstractNumId w:val="20"/>
  </w:num>
  <w:num w:numId="15">
    <w:abstractNumId w:val="28"/>
  </w:num>
  <w:num w:numId="16">
    <w:abstractNumId w:val="14"/>
  </w:num>
  <w:num w:numId="17">
    <w:abstractNumId w:val="23"/>
  </w:num>
  <w:num w:numId="18">
    <w:abstractNumId w:val="26"/>
  </w:num>
  <w:num w:numId="19">
    <w:abstractNumId w:val="24"/>
  </w:num>
  <w:num w:numId="20">
    <w:abstractNumId w:val="40"/>
  </w:num>
  <w:num w:numId="21">
    <w:abstractNumId w:val="37"/>
  </w:num>
  <w:num w:numId="22">
    <w:abstractNumId w:val="33"/>
  </w:num>
  <w:num w:numId="23">
    <w:abstractNumId w:val="38"/>
  </w:num>
  <w:num w:numId="24">
    <w:abstractNumId w:val="11"/>
  </w:num>
  <w:num w:numId="25">
    <w:abstractNumId w:val="35"/>
  </w:num>
  <w:num w:numId="26">
    <w:abstractNumId w:val="13"/>
  </w:num>
  <w:num w:numId="27">
    <w:abstractNumId w:val="32"/>
  </w:num>
  <w:num w:numId="28">
    <w:abstractNumId w:val="30"/>
  </w:num>
  <w:num w:numId="29">
    <w:abstractNumId w:val="41"/>
  </w:num>
  <w:num w:numId="30">
    <w:abstractNumId w:val="29"/>
  </w:num>
  <w:num w:numId="31">
    <w:abstractNumId w:val="22"/>
  </w:num>
  <w:num w:numId="32">
    <w:abstractNumId w:val="36"/>
  </w:num>
  <w:num w:numId="33">
    <w:abstractNumId w:val="18"/>
  </w:num>
  <w:num w:numId="34">
    <w:abstractNumId w:val="19"/>
  </w:num>
  <w:num w:numId="35">
    <w:abstractNumId w:val="25"/>
  </w:num>
  <w:num w:numId="36">
    <w:abstractNumId w:val="21"/>
  </w:num>
  <w:num w:numId="37">
    <w:abstractNumId w:val="15"/>
  </w:num>
  <w:num w:numId="38">
    <w:abstractNumId w:val="17"/>
  </w:num>
  <w:num w:numId="39">
    <w:abstractNumId w:val="43"/>
  </w:num>
  <w:num w:numId="40">
    <w:abstractNumId w:val="39"/>
  </w:num>
  <w:num w:numId="41">
    <w:abstractNumId w:val="44"/>
  </w:num>
  <w:num w:numId="42">
    <w:abstractNumId w:val="27"/>
  </w:num>
  <w:num w:numId="43">
    <w:abstractNumId w:val="34"/>
  </w:num>
  <w:num w:numId="44">
    <w:abstractNumId w:val="16"/>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001"/>
    <w:rsid w:val="001254C3"/>
    <w:rsid w:val="001747BC"/>
    <w:rsid w:val="00354444"/>
    <w:rsid w:val="003E4252"/>
    <w:rsid w:val="00493502"/>
    <w:rsid w:val="006C18BA"/>
    <w:rsid w:val="006F0FB5"/>
    <w:rsid w:val="0070617C"/>
    <w:rsid w:val="007E70B0"/>
    <w:rsid w:val="008649D9"/>
    <w:rsid w:val="00866203"/>
    <w:rsid w:val="008A5289"/>
    <w:rsid w:val="009B409F"/>
    <w:rsid w:val="009B58DA"/>
    <w:rsid w:val="009E1A32"/>
    <w:rsid w:val="00AE25AB"/>
    <w:rsid w:val="00B102FC"/>
    <w:rsid w:val="00B14F50"/>
    <w:rsid w:val="00B31F0A"/>
    <w:rsid w:val="00BA73E3"/>
    <w:rsid w:val="00C330E2"/>
    <w:rsid w:val="00C51001"/>
    <w:rsid w:val="00CC785B"/>
    <w:rsid w:val="00D01077"/>
    <w:rsid w:val="00D15354"/>
    <w:rsid w:val="00E276A8"/>
    <w:rsid w:val="00E949DB"/>
    <w:rsid w:val="00E95E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5:docId w15:val="{CB53A65D-698D-49F3-9FFB-D7E7FB9C7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254C3"/>
    <w:pPr>
      <w:tabs>
        <w:tab w:val="left" w:pos="170"/>
        <w:tab w:val="left" w:pos="680"/>
      </w:tabs>
      <w:spacing w:line="260" w:lineRule="exact"/>
    </w:pPr>
    <w:rPr>
      <w:sz w:val="18"/>
      <w:szCs w:val="24"/>
      <w:lang w:val="fr-FR" w:eastAsia="en-US"/>
    </w:rPr>
  </w:style>
  <w:style w:type="paragraph" w:styleId="Kop1">
    <w:name w:val="heading 1"/>
    <w:basedOn w:val="04Titel"/>
    <w:next w:val="Standaard"/>
    <w:qFormat/>
    <w:rsid w:val="001254C3"/>
    <w:pPr>
      <w:outlineLvl w:val="0"/>
    </w:pPr>
  </w:style>
  <w:style w:type="paragraph" w:styleId="Kop2">
    <w:name w:val="heading 2"/>
    <w:basedOn w:val="05Subtitel"/>
    <w:next w:val="Standaard"/>
    <w:qFormat/>
    <w:rsid w:val="001254C3"/>
    <w:pPr>
      <w:outlineLvl w:val="1"/>
    </w:pPr>
  </w:style>
  <w:style w:type="paragraph" w:styleId="Kop3">
    <w:name w:val="heading 3"/>
    <w:basedOn w:val="06Subkop"/>
    <w:next w:val="Standaard"/>
    <w:qFormat/>
    <w:rsid w:val="001254C3"/>
    <w:pPr>
      <w:outlineLvl w:val="2"/>
    </w:pPr>
    <w:rPr>
      <w:sz w:val="22"/>
    </w:rPr>
  </w:style>
  <w:style w:type="paragraph" w:styleId="Kop9">
    <w:name w:val="heading 9"/>
    <w:basedOn w:val="Standaard"/>
    <w:next w:val="Standaard"/>
    <w:link w:val="Kop9Char"/>
    <w:uiPriority w:val="9"/>
    <w:semiHidden/>
    <w:unhideWhenUsed/>
    <w:qFormat/>
    <w:rsid w:val="001254C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semiHidden/>
    <w:rsid w:val="00F73790"/>
    <w:rPr>
      <w:lang w:eastAsia="en-US"/>
    </w:rPr>
    <w:tblPr>
      <w:tblInd w:w="0" w:type="dxa"/>
      <w:tblCellMar>
        <w:top w:w="0" w:type="dxa"/>
        <w:left w:w="108" w:type="dxa"/>
        <w:bottom w:w="0" w:type="dxa"/>
        <w:right w:w="108" w:type="dxa"/>
      </w:tblCellMar>
    </w:tblPr>
  </w:style>
  <w:style w:type="paragraph" w:styleId="Ballontekst">
    <w:name w:val="Balloon Text"/>
    <w:basedOn w:val="Standaard"/>
    <w:semiHidden/>
    <w:rsid w:val="00A00952"/>
    <w:rPr>
      <w:rFonts w:ascii="Lucida Grande" w:hAnsi="Lucida Grande"/>
      <w:szCs w:val="18"/>
    </w:rPr>
  </w:style>
  <w:style w:type="paragraph" w:customStyle="1" w:styleId="01Rapporttekst">
    <w:name w:val="01_Rapporttekst"/>
    <w:basedOn w:val="Standaard"/>
    <w:qFormat/>
    <w:rsid w:val="00F50F86"/>
  </w:style>
  <w:style w:type="paragraph" w:customStyle="1" w:styleId="02Opsomming">
    <w:name w:val="02_Opsomming"/>
    <w:basedOn w:val="01Rapporttekst"/>
    <w:rsid w:val="00F50F86"/>
    <w:pPr>
      <w:numPr>
        <w:numId w:val="12"/>
      </w:numPr>
    </w:pPr>
  </w:style>
  <w:style w:type="paragraph" w:customStyle="1" w:styleId="03Inleiding">
    <w:name w:val="03_Inleiding"/>
    <w:basedOn w:val="01Rapporttekst"/>
    <w:next w:val="01Rapporttekst"/>
    <w:rsid w:val="00F50F86"/>
    <w:rPr>
      <w:b/>
    </w:rPr>
  </w:style>
  <w:style w:type="numbering" w:styleId="111111">
    <w:name w:val="Outline List 2"/>
    <w:aliases w:val="ISPT_nummering"/>
    <w:basedOn w:val="Geenlijst"/>
    <w:rsid w:val="00F50F86"/>
    <w:pPr>
      <w:numPr>
        <w:numId w:val="15"/>
      </w:numPr>
    </w:pPr>
  </w:style>
  <w:style w:type="paragraph" w:styleId="Koptekst">
    <w:name w:val="header"/>
    <w:basedOn w:val="Standaard"/>
    <w:link w:val="KoptekstChar"/>
    <w:uiPriority w:val="99"/>
    <w:unhideWhenUsed/>
    <w:rsid w:val="007E02E1"/>
    <w:pPr>
      <w:tabs>
        <w:tab w:val="center" w:pos="4536"/>
        <w:tab w:val="right" w:pos="9072"/>
      </w:tabs>
    </w:pPr>
  </w:style>
  <w:style w:type="character" w:customStyle="1" w:styleId="KoptekstChar">
    <w:name w:val="Koptekst Char"/>
    <w:basedOn w:val="Standaardalinea-lettertype"/>
    <w:link w:val="Koptekst"/>
    <w:uiPriority w:val="99"/>
    <w:rsid w:val="007E02E1"/>
    <w:rPr>
      <w:sz w:val="24"/>
      <w:szCs w:val="24"/>
    </w:rPr>
  </w:style>
  <w:style w:type="paragraph" w:styleId="Voettekst">
    <w:name w:val="footer"/>
    <w:basedOn w:val="Standaard"/>
    <w:link w:val="VoettekstChar"/>
    <w:uiPriority w:val="99"/>
    <w:unhideWhenUsed/>
    <w:rsid w:val="007E02E1"/>
    <w:pPr>
      <w:tabs>
        <w:tab w:val="center" w:pos="4536"/>
        <w:tab w:val="right" w:pos="9072"/>
      </w:tabs>
    </w:pPr>
  </w:style>
  <w:style w:type="character" w:customStyle="1" w:styleId="VoettekstChar">
    <w:name w:val="Voettekst Char"/>
    <w:basedOn w:val="Standaardalinea-lettertype"/>
    <w:link w:val="Voettekst"/>
    <w:uiPriority w:val="99"/>
    <w:rsid w:val="007E02E1"/>
    <w:rPr>
      <w:sz w:val="24"/>
      <w:szCs w:val="24"/>
    </w:rPr>
  </w:style>
  <w:style w:type="table" w:styleId="Tabelraster">
    <w:name w:val="Table Grid"/>
    <w:aliases w:val="11_Tabel"/>
    <w:basedOn w:val="Standaardtabel"/>
    <w:uiPriority w:val="59"/>
    <w:rsid w:val="00F50F86"/>
    <w:pPr>
      <w:spacing w:line="260" w:lineRule="exact"/>
      <w:ind w:left="113" w:right="113"/>
    </w:pPr>
    <w:rPr>
      <w:sz w:val="18"/>
    </w:rPr>
    <w:tblPr>
      <w:tblBorders>
        <w:top w:val="single" w:sz="4" w:space="0" w:color="000000"/>
        <w:left w:val="single" w:sz="4" w:space="0" w:color="000000"/>
        <w:bottom w:val="single" w:sz="4" w:space="0" w:color="000000"/>
        <w:right w:val="single" w:sz="4" w:space="0" w:color="000000"/>
      </w:tblBorders>
      <w:tblCellMar>
        <w:top w:w="113" w:type="dxa"/>
        <w:left w:w="0" w:type="dxa"/>
        <w:bottom w:w="113" w:type="dxa"/>
        <w:right w:w="0" w:type="dxa"/>
      </w:tblCellMar>
    </w:tblPr>
  </w:style>
  <w:style w:type="character" w:styleId="Paginanummer">
    <w:name w:val="page number"/>
    <w:basedOn w:val="Standaardalinea-lettertype"/>
    <w:uiPriority w:val="99"/>
    <w:semiHidden/>
    <w:unhideWhenUsed/>
    <w:rsid w:val="007E02E1"/>
  </w:style>
  <w:style w:type="paragraph" w:customStyle="1" w:styleId="07Kopjevet">
    <w:name w:val="07_Kopje vet"/>
    <w:basedOn w:val="01Rapporttekst"/>
    <w:next w:val="01Rapporttekst"/>
    <w:rsid w:val="00F50F86"/>
    <w:rPr>
      <w:b/>
    </w:rPr>
  </w:style>
  <w:style w:type="paragraph" w:customStyle="1" w:styleId="08KopjeCursief">
    <w:name w:val="08_Kopje Cursief"/>
    <w:basedOn w:val="01Rapporttekst"/>
    <w:next w:val="01Rapporttekst"/>
    <w:rsid w:val="00F50F86"/>
    <w:rPr>
      <w:i/>
    </w:rPr>
  </w:style>
  <w:style w:type="paragraph" w:customStyle="1" w:styleId="09Voettekst">
    <w:name w:val="09_Voettekst"/>
    <w:basedOn w:val="Standaard"/>
    <w:rsid w:val="00F50F86"/>
    <w:pPr>
      <w:jc w:val="center"/>
    </w:pPr>
    <w:rPr>
      <w:sz w:val="14"/>
    </w:rPr>
  </w:style>
  <w:style w:type="character" w:customStyle="1" w:styleId="10Paginanummer">
    <w:name w:val="10_Paginanummer"/>
    <w:basedOn w:val="Standaardalinea-lettertype"/>
    <w:rsid w:val="00F50F86"/>
    <w:rPr>
      <w:b/>
      <w:sz w:val="16"/>
    </w:rPr>
  </w:style>
  <w:style w:type="paragraph" w:styleId="Voetnoottekst">
    <w:name w:val="footnote text"/>
    <w:aliases w:val="10_Voetnoottekst"/>
    <w:basedOn w:val="Standaard"/>
    <w:semiHidden/>
    <w:rsid w:val="00F50F86"/>
    <w:pPr>
      <w:spacing w:line="180" w:lineRule="exact"/>
    </w:pPr>
    <w:rPr>
      <w:sz w:val="14"/>
    </w:rPr>
  </w:style>
  <w:style w:type="character" w:styleId="Voetnootmarkering">
    <w:name w:val="footnote reference"/>
    <w:basedOn w:val="Standaardalinea-lettertype"/>
    <w:semiHidden/>
    <w:rsid w:val="00F50F86"/>
    <w:rPr>
      <w:vertAlign w:val="superscript"/>
    </w:rPr>
  </w:style>
  <w:style w:type="paragraph" w:customStyle="1" w:styleId="05Subtitel">
    <w:name w:val="05_Subtitel"/>
    <w:basedOn w:val="01Rapporttekst"/>
    <w:next w:val="01Rapporttekst"/>
    <w:rsid w:val="00F50F86"/>
    <w:pPr>
      <w:numPr>
        <w:ilvl w:val="1"/>
        <w:numId w:val="30"/>
      </w:numPr>
      <w:spacing w:after="260" w:line="360" w:lineRule="exact"/>
    </w:pPr>
    <w:rPr>
      <w:sz w:val="34"/>
    </w:rPr>
  </w:style>
  <w:style w:type="paragraph" w:customStyle="1" w:styleId="04Titel">
    <w:name w:val="04_Titel"/>
    <w:basedOn w:val="01Rapporttekst"/>
    <w:next w:val="01Rapporttekst"/>
    <w:rsid w:val="00F50F86"/>
    <w:pPr>
      <w:numPr>
        <w:numId w:val="30"/>
      </w:numPr>
      <w:spacing w:after="520" w:line="520" w:lineRule="exact"/>
    </w:pPr>
    <w:rPr>
      <w:b/>
      <w:sz w:val="50"/>
    </w:rPr>
  </w:style>
  <w:style w:type="paragraph" w:customStyle="1" w:styleId="06Subkop">
    <w:name w:val="06_Subkop"/>
    <w:basedOn w:val="01Rapporttekst"/>
    <w:next w:val="01Rapporttekst"/>
    <w:rsid w:val="00F50F86"/>
    <w:pPr>
      <w:numPr>
        <w:ilvl w:val="2"/>
        <w:numId w:val="30"/>
      </w:numPr>
    </w:pPr>
    <w:rPr>
      <w:b/>
    </w:rPr>
  </w:style>
  <w:style w:type="paragraph" w:customStyle="1" w:styleId="11RapportTitel">
    <w:name w:val="11_Rapport Titel"/>
    <w:basedOn w:val="Standaard"/>
    <w:next w:val="12RapportSubtitel"/>
    <w:rsid w:val="00D5330C"/>
    <w:pPr>
      <w:tabs>
        <w:tab w:val="clear" w:pos="680"/>
      </w:tabs>
      <w:spacing w:after="540" w:line="540" w:lineRule="exact"/>
      <w:jc w:val="right"/>
    </w:pPr>
    <w:rPr>
      <w:b/>
      <w:sz w:val="48"/>
    </w:rPr>
  </w:style>
  <w:style w:type="paragraph" w:customStyle="1" w:styleId="12RapportSubtitel">
    <w:name w:val="12_Rapport_Subtitel"/>
    <w:basedOn w:val="11RapportTitel"/>
    <w:rsid w:val="00D5330C"/>
    <w:pPr>
      <w:ind w:left="113" w:right="113"/>
    </w:pPr>
    <w:rPr>
      <w:b w:val="0"/>
    </w:rPr>
  </w:style>
  <w:style w:type="paragraph" w:styleId="Inhopg2">
    <w:name w:val="toc 2"/>
    <w:basedOn w:val="Standaard"/>
    <w:next w:val="Standaard"/>
    <w:autoRedefine/>
    <w:semiHidden/>
    <w:rsid w:val="00923515"/>
    <w:pPr>
      <w:tabs>
        <w:tab w:val="clear" w:pos="680"/>
        <w:tab w:val="left" w:pos="454"/>
        <w:tab w:val="left" w:pos="1134"/>
        <w:tab w:val="left" w:pos="1247"/>
        <w:tab w:val="right" w:pos="9054"/>
      </w:tabs>
      <w:ind w:left="454"/>
    </w:pPr>
    <w:rPr>
      <w:noProof/>
    </w:rPr>
  </w:style>
  <w:style w:type="paragraph" w:styleId="Inhopg1">
    <w:name w:val="toc 1"/>
    <w:basedOn w:val="Standaard"/>
    <w:next w:val="Standaard"/>
    <w:autoRedefine/>
    <w:uiPriority w:val="39"/>
    <w:rsid w:val="00BA73E3"/>
    <w:pPr>
      <w:tabs>
        <w:tab w:val="clear" w:pos="680"/>
        <w:tab w:val="left" w:pos="567"/>
        <w:tab w:val="right" w:pos="9054"/>
      </w:tabs>
      <w:spacing w:before="260"/>
    </w:pPr>
    <w:rPr>
      <w:b/>
    </w:rPr>
  </w:style>
  <w:style w:type="paragraph" w:styleId="Inhopg3">
    <w:name w:val="toc 3"/>
    <w:basedOn w:val="Standaard"/>
    <w:next w:val="Standaard"/>
    <w:autoRedefine/>
    <w:semiHidden/>
    <w:rsid w:val="00923515"/>
    <w:pPr>
      <w:tabs>
        <w:tab w:val="clear" w:pos="680"/>
        <w:tab w:val="left" w:pos="567"/>
        <w:tab w:val="left" w:pos="1134"/>
        <w:tab w:val="left" w:pos="1247"/>
        <w:tab w:val="left" w:pos="1352"/>
        <w:tab w:val="left" w:pos="1440"/>
        <w:tab w:val="right" w:pos="9054"/>
      </w:tabs>
      <w:ind w:left="454"/>
    </w:pPr>
  </w:style>
  <w:style w:type="paragraph" w:styleId="Inhopg4">
    <w:name w:val="toc 4"/>
    <w:basedOn w:val="Standaard"/>
    <w:next w:val="Standaard"/>
    <w:autoRedefine/>
    <w:semiHidden/>
    <w:rsid w:val="00D5330C"/>
    <w:pPr>
      <w:tabs>
        <w:tab w:val="clear" w:pos="680"/>
      </w:tabs>
      <w:ind w:left="720"/>
    </w:pPr>
  </w:style>
  <w:style w:type="paragraph" w:styleId="Inhopg5">
    <w:name w:val="toc 5"/>
    <w:basedOn w:val="Standaard"/>
    <w:next w:val="Standaard"/>
    <w:autoRedefine/>
    <w:semiHidden/>
    <w:rsid w:val="00D5330C"/>
    <w:pPr>
      <w:tabs>
        <w:tab w:val="clear" w:pos="680"/>
      </w:tabs>
      <w:ind w:left="960"/>
    </w:pPr>
  </w:style>
  <w:style w:type="paragraph" w:styleId="Inhopg6">
    <w:name w:val="toc 6"/>
    <w:basedOn w:val="Standaard"/>
    <w:next w:val="Standaard"/>
    <w:autoRedefine/>
    <w:semiHidden/>
    <w:rsid w:val="00D5330C"/>
    <w:pPr>
      <w:tabs>
        <w:tab w:val="clear" w:pos="680"/>
      </w:tabs>
      <w:ind w:left="1200"/>
    </w:pPr>
  </w:style>
  <w:style w:type="paragraph" w:styleId="Inhopg7">
    <w:name w:val="toc 7"/>
    <w:basedOn w:val="Standaard"/>
    <w:next w:val="Standaard"/>
    <w:autoRedefine/>
    <w:semiHidden/>
    <w:rsid w:val="00D5330C"/>
    <w:pPr>
      <w:tabs>
        <w:tab w:val="clear" w:pos="680"/>
      </w:tabs>
      <w:ind w:left="1440"/>
    </w:pPr>
  </w:style>
  <w:style w:type="paragraph" w:styleId="Inhopg8">
    <w:name w:val="toc 8"/>
    <w:basedOn w:val="Standaard"/>
    <w:next w:val="Standaard"/>
    <w:autoRedefine/>
    <w:semiHidden/>
    <w:rsid w:val="00D5330C"/>
    <w:pPr>
      <w:tabs>
        <w:tab w:val="clear" w:pos="680"/>
      </w:tabs>
      <w:ind w:left="1680"/>
    </w:pPr>
  </w:style>
  <w:style w:type="paragraph" w:styleId="Inhopg9">
    <w:name w:val="toc 9"/>
    <w:basedOn w:val="Standaard"/>
    <w:next w:val="Standaard"/>
    <w:autoRedefine/>
    <w:semiHidden/>
    <w:rsid w:val="00D5330C"/>
    <w:pPr>
      <w:tabs>
        <w:tab w:val="clear" w:pos="680"/>
      </w:tabs>
      <w:ind w:left="1920"/>
    </w:pPr>
  </w:style>
  <w:style w:type="paragraph" w:customStyle="1" w:styleId="13Voetregel">
    <w:name w:val="13_Voetregel"/>
    <w:basedOn w:val="Voettekst"/>
    <w:rsid w:val="00D5330C"/>
    <w:pPr>
      <w:jc w:val="center"/>
    </w:pPr>
    <w:rPr>
      <w:sz w:val="14"/>
    </w:rPr>
  </w:style>
  <w:style w:type="character" w:customStyle="1" w:styleId="14Paginanummer">
    <w:name w:val="14_Paginanummer"/>
    <w:basedOn w:val="Standaardalinea-lettertype"/>
    <w:rsid w:val="00D5330C"/>
    <w:rPr>
      <w:b/>
      <w:sz w:val="16"/>
    </w:rPr>
  </w:style>
  <w:style w:type="paragraph" w:customStyle="1" w:styleId="Samenvatting">
    <w:name w:val="Samenvatting"/>
    <w:basedOn w:val="Standaard"/>
    <w:next w:val="Standaard"/>
    <w:rsid w:val="001254C3"/>
    <w:pPr>
      <w:pageBreakBefore/>
      <w:tabs>
        <w:tab w:val="clear" w:pos="680"/>
      </w:tabs>
      <w:suppressAutoHyphens/>
      <w:spacing w:after="520" w:line="340" w:lineRule="atLeast"/>
    </w:pPr>
    <w:rPr>
      <w:rFonts w:ascii="Arial" w:eastAsia="Arial Unicode MS" w:hAnsi="Arial"/>
      <w:sz w:val="32"/>
      <w:szCs w:val="20"/>
      <w:lang w:val="en-GB"/>
    </w:rPr>
  </w:style>
  <w:style w:type="paragraph" w:customStyle="1" w:styleId="Body">
    <w:name w:val="Body"/>
    <w:basedOn w:val="Standaard"/>
    <w:rsid w:val="001254C3"/>
    <w:pPr>
      <w:tabs>
        <w:tab w:val="clear" w:pos="680"/>
      </w:tabs>
      <w:suppressAutoHyphens/>
      <w:spacing w:line="260" w:lineRule="atLeast"/>
    </w:pPr>
    <w:rPr>
      <w:rFonts w:ascii="Arial" w:eastAsia="Arial Unicode MS" w:hAnsi="Arial"/>
      <w:sz w:val="20"/>
      <w:szCs w:val="20"/>
      <w:lang w:val="en-GB"/>
    </w:rPr>
  </w:style>
  <w:style w:type="paragraph" w:styleId="Lijstalinea">
    <w:name w:val="List Paragraph"/>
    <w:basedOn w:val="Standaard"/>
    <w:uiPriority w:val="34"/>
    <w:qFormat/>
    <w:rsid w:val="001254C3"/>
    <w:pPr>
      <w:ind w:left="720"/>
      <w:contextualSpacing/>
    </w:pPr>
  </w:style>
  <w:style w:type="character" w:customStyle="1" w:styleId="Kop9Char">
    <w:name w:val="Kop 9 Char"/>
    <w:basedOn w:val="Standaardalinea-lettertype"/>
    <w:link w:val="Kop9"/>
    <w:uiPriority w:val="9"/>
    <w:semiHidden/>
    <w:rsid w:val="001254C3"/>
    <w:rPr>
      <w:rFonts w:asciiTheme="majorHAnsi" w:eastAsiaTheme="majorEastAsia" w:hAnsiTheme="majorHAnsi" w:cstheme="majorBidi"/>
      <w:i/>
      <w:iCs/>
      <w:color w:val="404040" w:themeColor="text1" w:themeTint="BF"/>
      <w:lang w:val="fr-FR" w:eastAsia="en-US"/>
    </w:rPr>
  </w:style>
  <w:style w:type="character" w:styleId="Hyperlink">
    <w:name w:val="Hyperlink"/>
    <w:basedOn w:val="Standaardalinea-lettertype"/>
    <w:uiPriority w:val="99"/>
    <w:unhideWhenUsed/>
    <w:rsid w:val="00C330E2"/>
    <w:rPr>
      <w:color w:val="0563C1" w:themeColor="hyperlink"/>
      <w:u w:val="single"/>
    </w:rPr>
  </w:style>
  <w:style w:type="table" w:styleId="Kleurrijkraster-accent1">
    <w:name w:val="Colorful Grid Accent 1"/>
    <w:basedOn w:val="Standaardtabel"/>
    <w:uiPriority w:val="73"/>
    <w:rsid w:val="00C330E2"/>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customStyle="1" w:styleId="BijlageHeader4">
    <w:name w:val="BijlageHeader 4"/>
    <w:basedOn w:val="BijlageHeader3"/>
    <w:next w:val="Body"/>
    <w:rsid w:val="003E4252"/>
    <w:pPr>
      <w:numPr>
        <w:ilvl w:val="3"/>
      </w:numPr>
      <w:tabs>
        <w:tab w:val="clear" w:pos="864"/>
      </w:tabs>
      <w:ind w:left="0" w:hanging="907"/>
    </w:pPr>
  </w:style>
  <w:style w:type="paragraph" w:customStyle="1" w:styleId="BijlageHeader">
    <w:name w:val="BijlageHeader"/>
    <w:basedOn w:val="Standaard"/>
    <w:next w:val="Body"/>
    <w:rsid w:val="003E4252"/>
    <w:pPr>
      <w:keepNext/>
      <w:keepLines/>
      <w:numPr>
        <w:numId w:val="44"/>
      </w:numPr>
      <w:tabs>
        <w:tab w:val="clear" w:pos="170"/>
        <w:tab w:val="clear" w:pos="432"/>
        <w:tab w:val="clear" w:pos="680"/>
        <w:tab w:val="left" w:pos="0"/>
        <w:tab w:val="left" w:pos="907"/>
      </w:tabs>
      <w:spacing w:after="520" w:line="360" w:lineRule="exact"/>
      <w:ind w:left="0" w:hanging="907"/>
      <w:outlineLvl w:val="5"/>
    </w:pPr>
    <w:rPr>
      <w:rFonts w:ascii="Arial" w:eastAsia="Arial Unicode MS" w:hAnsi="Arial"/>
      <w:sz w:val="32"/>
      <w:szCs w:val="20"/>
      <w:lang w:val="en-GB"/>
    </w:rPr>
  </w:style>
  <w:style w:type="paragraph" w:customStyle="1" w:styleId="BijlageHeader2">
    <w:name w:val="BijlageHeader 2"/>
    <w:basedOn w:val="Standaard"/>
    <w:next w:val="Body"/>
    <w:rsid w:val="003E4252"/>
    <w:pPr>
      <w:keepNext/>
      <w:keepLines/>
      <w:numPr>
        <w:ilvl w:val="1"/>
        <w:numId w:val="44"/>
      </w:numPr>
      <w:tabs>
        <w:tab w:val="clear" w:pos="170"/>
        <w:tab w:val="clear" w:pos="576"/>
        <w:tab w:val="clear" w:pos="680"/>
        <w:tab w:val="left" w:pos="0"/>
        <w:tab w:val="left" w:pos="907"/>
      </w:tabs>
      <w:spacing w:after="260"/>
      <w:ind w:left="0" w:hanging="907"/>
      <w:outlineLvl w:val="6"/>
    </w:pPr>
    <w:rPr>
      <w:rFonts w:ascii="Arial" w:eastAsia="Arial Unicode MS" w:hAnsi="Arial"/>
      <w:b/>
      <w:sz w:val="26"/>
      <w:szCs w:val="20"/>
      <w:lang w:val="en-GB"/>
    </w:rPr>
  </w:style>
  <w:style w:type="paragraph" w:customStyle="1" w:styleId="BijlageHeader3">
    <w:name w:val="BijlageHeader 3"/>
    <w:basedOn w:val="Standaard"/>
    <w:next w:val="Body"/>
    <w:rsid w:val="003E4252"/>
    <w:pPr>
      <w:keepNext/>
      <w:keepLines/>
      <w:numPr>
        <w:ilvl w:val="2"/>
        <w:numId w:val="44"/>
      </w:numPr>
      <w:tabs>
        <w:tab w:val="clear" w:pos="170"/>
        <w:tab w:val="clear" w:pos="680"/>
        <w:tab w:val="clear" w:pos="720"/>
        <w:tab w:val="left" w:pos="0"/>
        <w:tab w:val="left" w:pos="907"/>
      </w:tabs>
      <w:ind w:left="0" w:hanging="907"/>
      <w:outlineLvl w:val="7"/>
    </w:pPr>
    <w:rPr>
      <w:rFonts w:ascii="Arial" w:eastAsia="Arial Unicode MS" w:hAnsi="Arial"/>
      <w:i/>
      <w:sz w:val="20"/>
      <w:szCs w:val="20"/>
      <w:lang w:val="en-GB"/>
    </w:rPr>
  </w:style>
  <w:style w:type="table" w:styleId="Lichtearcering-accent1">
    <w:name w:val="Light Shading Accent 1"/>
    <w:basedOn w:val="Standaardtabel"/>
    <w:uiPriority w:val="60"/>
    <w:rsid w:val="00E95E3F"/>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chtearcering">
    <w:name w:val="Light Shading"/>
    <w:basedOn w:val="Standaardtabel"/>
    <w:uiPriority w:val="60"/>
    <w:rsid w:val="00E95E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raster3-accent5">
    <w:name w:val="Medium Grid 3 Accent 5"/>
    <w:basedOn w:val="Standaardtabel"/>
    <w:uiPriority w:val="69"/>
    <w:rsid w:val="00E95E3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Gemiddeldearcering1-accent1">
    <w:name w:val="Medium Shading 1 Accent 1"/>
    <w:basedOn w:val="Standaardtabel"/>
    <w:uiPriority w:val="63"/>
    <w:rsid w:val="00E276A8"/>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chtraster-accent6">
    <w:name w:val="Light Grid Accent 6"/>
    <w:basedOn w:val="Standaardtabel"/>
    <w:uiPriority w:val="62"/>
    <w:rsid w:val="00E276A8"/>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Gemiddeldearcering2-accent1">
    <w:name w:val="Medium Shading 2 Accent 1"/>
    <w:basedOn w:val="Standaardtabel"/>
    <w:uiPriority w:val="64"/>
    <w:rsid w:val="00E276A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89800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greenchemistrycampus.com/en/"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brightlands.com/brightlands-chemelot-campus"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hyperlink" Target="http://www.invite-research.com/en/welcome-to-the-invite-research-center.html"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www.uk-cpi.com/" TargetMode="External"/><Relationship Id="rId14" Type="http://schemas.openxmlformats.org/officeDocument/2006/relationships/image" Target="media/image5.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nno\Documents\Documents\HetD\ISPT_Rapport_Logo_v1.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ISPT_Rapport_Logo_v1</Template>
  <TotalTime>28</TotalTime>
  <Pages>24</Pages>
  <Words>4529</Words>
  <Characters>24910</Characters>
  <Application>Microsoft Office Word</Application>
  <DocSecurity>0</DocSecurity>
  <Lines>207</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Bedrijfsnaam</vt:lpstr>
      <vt:lpstr>Bedrijfsnaam</vt:lpstr>
    </vt:vector>
  </TitlesOfParts>
  <Company>TNO</Company>
  <LinksUpToDate>false</LinksUpToDate>
  <CharactersWithSpaces>29381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Bedrijfsnaam</dc:title>
  <dc:creator>Plantenga, Menno</dc:creator>
  <cp:lastModifiedBy>Noë, Ann</cp:lastModifiedBy>
  <cp:revision>5</cp:revision>
  <cp:lastPrinted>2011-11-16T15:08:00Z</cp:lastPrinted>
  <dcterms:created xsi:type="dcterms:W3CDTF">2016-03-21T22:24:00Z</dcterms:created>
  <dcterms:modified xsi:type="dcterms:W3CDTF">2016-03-30T11:45:00Z</dcterms:modified>
</cp:coreProperties>
</file>